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274"/>
        <w:gridCol w:w="1971"/>
        <w:gridCol w:w="2244"/>
        <w:gridCol w:w="2245"/>
      </w:tblGrid>
      <w:tr w:rsidR="00CB65B9" w:rsidTr="00CB65B9">
        <w:tc>
          <w:tcPr>
            <w:tcW w:w="2244" w:type="dxa"/>
            <w:tcBorders>
              <w:top w:val="single" w:sz="4" w:space="0" w:color="auto"/>
              <w:left w:val="single" w:sz="4" w:space="0" w:color="auto"/>
              <w:bottom w:val="single" w:sz="4" w:space="0" w:color="auto"/>
              <w:right w:val="single" w:sz="4" w:space="0" w:color="auto"/>
            </w:tcBorders>
            <w:hideMark/>
          </w:tcPr>
          <w:p w:rsidR="00CB65B9" w:rsidRDefault="00CB65B9" w:rsidP="00974E42">
            <w:pPr>
              <w:spacing w:after="80"/>
              <w:rPr>
                <w:rFonts w:ascii="Arial" w:hAnsi="Arial" w:cs="Arial"/>
                <w:b/>
                <w:sz w:val="20"/>
              </w:rPr>
            </w:pPr>
            <w:r>
              <w:rPr>
                <w:rFonts w:ascii="Arial" w:hAnsi="Arial" w:cs="Arial"/>
                <w:b/>
                <w:sz w:val="20"/>
              </w:rPr>
              <w:t>Fecha</w:t>
            </w:r>
          </w:p>
        </w:tc>
        <w:tc>
          <w:tcPr>
            <w:tcW w:w="2245" w:type="dxa"/>
            <w:gridSpan w:val="2"/>
            <w:tcBorders>
              <w:top w:val="single" w:sz="4" w:space="0" w:color="auto"/>
              <w:left w:val="single" w:sz="4" w:space="0" w:color="auto"/>
              <w:bottom w:val="single" w:sz="4" w:space="0" w:color="auto"/>
              <w:right w:val="single" w:sz="4" w:space="0" w:color="auto"/>
            </w:tcBorders>
            <w:hideMark/>
          </w:tcPr>
          <w:p w:rsidR="00CB65B9" w:rsidRDefault="00CB65B9" w:rsidP="00974E42">
            <w:pPr>
              <w:spacing w:after="80"/>
              <w:rPr>
                <w:rFonts w:ascii="Arial" w:hAnsi="Arial" w:cs="Arial"/>
                <w:sz w:val="20"/>
              </w:rPr>
            </w:pPr>
            <w:r>
              <w:rPr>
                <w:rFonts w:ascii="Arial" w:hAnsi="Arial" w:cs="Arial"/>
                <w:sz w:val="20"/>
              </w:rPr>
              <w:t>7 de febrero de 1941</w:t>
            </w:r>
          </w:p>
        </w:tc>
        <w:tc>
          <w:tcPr>
            <w:tcW w:w="2244" w:type="dxa"/>
            <w:tcBorders>
              <w:top w:val="single" w:sz="4" w:space="0" w:color="auto"/>
              <w:left w:val="single" w:sz="4" w:space="0" w:color="auto"/>
              <w:bottom w:val="single" w:sz="4" w:space="0" w:color="auto"/>
              <w:right w:val="single" w:sz="4" w:space="0" w:color="auto"/>
            </w:tcBorders>
            <w:hideMark/>
          </w:tcPr>
          <w:p w:rsidR="00CB65B9" w:rsidRDefault="00CB65B9" w:rsidP="00974E42">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CB65B9" w:rsidRDefault="00CB65B9" w:rsidP="00974E42">
            <w:pPr>
              <w:spacing w:after="80"/>
              <w:rPr>
                <w:rFonts w:ascii="Arial" w:hAnsi="Arial" w:cs="Arial"/>
                <w:sz w:val="20"/>
              </w:rPr>
            </w:pPr>
            <w:r>
              <w:rPr>
                <w:rFonts w:ascii="Arial" w:hAnsi="Arial" w:cs="Arial"/>
                <w:sz w:val="20"/>
              </w:rPr>
              <w:t>10</w:t>
            </w:r>
          </w:p>
        </w:tc>
      </w:tr>
      <w:tr w:rsidR="00CB65B9" w:rsidTr="00CB65B9">
        <w:tc>
          <w:tcPr>
            <w:tcW w:w="8978" w:type="dxa"/>
            <w:gridSpan w:val="5"/>
            <w:tcBorders>
              <w:top w:val="single" w:sz="4" w:space="0" w:color="auto"/>
              <w:left w:val="single" w:sz="4" w:space="0" w:color="auto"/>
              <w:bottom w:val="single" w:sz="4" w:space="0" w:color="auto"/>
              <w:right w:val="single" w:sz="4" w:space="0" w:color="auto"/>
            </w:tcBorders>
            <w:hideMark/>
          </w:tcPr>
          <w:p w:rsidR="00CB65B9" w:rsidRDefault="00CB65B9" w:rsidP="00974E42">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CB65B9" w:rsidTr="00CB65B9">
        <w:tc>
          <w:tcPr>
            <w:tcW w:w="8978" w:type="dxa"/>
            <w:gridSpan w:val="5"/>
            <w:tcBorders>
              <w:top w:val="single" w:sz="4" w:space="0" w:color="auto"/>
              <w:left w:val="single" w:sz="4" w:space="0" w:color="auto"/>
              <w:bottom w:val="single" w:sz="4" w:space="0" w:color="auto"/>
              <w:right w:val="single" w:sz="4" w:space="0" w:color="auto"/>
            </w:tcBorders>
            <w:hideMark/>
          </w:tcPr>
          <w:p w:rsidR="00CB65B9" w:rsidRDefault="00CB65B9" w:rsidP="00974E42">
            <w:pPr>
              <w:spacing w:after="80"/>
              <w:rPr>
                <w:rFonts w:ascii="Arial" w:hAnsi="Arial" w:cs="Arial"/>
                <w:sz w:val="20"/>
              </w:rPr>
            </w:pPr>
            <w:r>
              <w:rPr>
                <w:rFonts w:ascii="Arial" w:hAnsi="Arial" w:cs="Arial"/>
                <w:b/>
                <w:sz w:val="20"/>
              </w:rPr>
              <w:t xml:space="preserve">Recurrente: </w:t>
            </w:r>
            <w:r w:rsidR="00334C32">
              <w:rPr>
                <w:rFonts w:ascii="Arial" w:hAnsi="Arial" w:cs="Arial"/>
                <w:sz w:val="20"/>
              </w:rPr>
              <w:t>Estanislao Enríquez Prado</w:t>
            </w:r>
          </w:p>
        </w:tc>
      </w:tr>
      <w:tr w:rsidR="00CB65B9" w:rsidTr="00CB65B9">
        <w:tc>
          <w:tcPr>
            <w:tcW w:w="8978" w:type="dxa"/>
            <w:gridSpan w:val="5"/>
            <w:tcBorders>
              <w:top w:val="single" w:sz="4" w:space="0" w:color="auto"/>
              <w:left w:val="single" w:sz="4" w:space="0" w:color="auto"/>
              <w:bottom w:val="single" w:sz="4" w:space="0" w:color="auto"/>
              <w:right w:val="single" w:sz="4" w:space="0" w:color="auto"/>
            </w:tcBorders>
            <w:hideMark/>
          </w:tcPr>
          <w:p w:rsidR="00CB65B9" w:rsidRDefault="00CB65B9" w:rsidP="00974E42">
            <w:pPr>
              <w:spacing w:after="80"/>
              <w:rPr>
                <w:rFonts w:ascii="Arial" w:hAnsi="Arial" w:cs="Arial"/>
                <w:sz w:val="20"/>
              </w:rPr>
            </w:pPr>
            <w:r>
              <w:rPr>
                <w:rFonts w:ascii="Arial" w:hAnsi="Arial" w:cs="Arial"/>
                <w:b/>
                <w:sz w:val="20"/>
              </w:rPr>
              <w:t xml:space="preserve">Recurrido: </w:t>
            </w:r>
            <w:r w:rsidR="00334C32">
              <w:rPr>
                <w:rFonts w:ascii="Arial" w:hAnsi="Arial" w:cs="Arial"/>
                <w:sz w:val="20"/>
              </w:rPr>
              <w:t>Agente Principal de Policía Judicial de Puntarenas</w:t>
            </w:r>
          </w:p>
        </w:tc>
      </w:tr>
      <w:tr w:rsidR="00CB65B9" w:rsidTr="00CB65B9">
        <w:tc>
          <w:tcPr>
            <w:tcW w:w="8978" w:type="dxa"/>
            <w:gridSpan w:val="5"/>
            <w:tcBorders>
              <w:top w:val="single" w:sz="4" w:space="0" w:color="auto"/>
              <w:left w:val="single" w:sz="4" w:space="0" w:color="auto"/>
              <w:bottom w:val="single" w:sz="4" w:space="0" w:color="auto"/>
              <w:right w:val="single" w:sz="4" w:space="0" w:color="auto"/>
            </w:tcBorders>
            <w:hideMark/>
          </w:tcPr>
          <w:p w:rsidR="00CB65B9" w:rsidRDefault="00CB65B9" w:rsidP="00974E42">
            <w:pPr>
              <w:spacing w:after="80"/>
              <w:rPr>
                <w:rFonts w:ascii="Arial" w:hAnsi="Arial" w:cs="Arial"/>
                <w:sz w:val="20"/>
              </w:rPr>
            </w:pPr>
            <w:r>
              <w:rPr>
                <w:rFonts w:ascii="Arial" w:hAnsi="Arial" w:cs="Arial"/>
                <w:b/>
                <w:sz w:val="20"/>
              </w:rPr>
              <w:t xml:space="preserve">Objeto del </w:t>
            </w:r>
            <w:r w:rsidR="00974E42">
              <w:rPr>
                <w:rFonts w:ascii="Arial" w:hAnsi="Arial" w:cs="Arial"/>
                <w:b/>
                <w:sz w:val="20"/>
              </w:rPr>
              <w:t>r</w:t>
            </w:r>
            <w:r>
              <w:rPr>
                <w:rFonts w:ascii="Arial" w:hAnsi="Arial" w:cs="Arial"/>
                <w:b/>
                <w:sz w:val="20"/>
              </w:rPr>
              <w:t xml:space="preserve">ecurso: </w:t>
            </w:r>
            <w:r>
              <w:rPr>
                <w:rFonts w:ascii="Arial" w:hAnsi="Arial" w:cs="Arial"/>
                <w:sz w:val="20"/>
              </w:rPr>
              <w:t>E</w:t>
            </w:r>
            <w:r w:rsidR="00334C32">
              <w:rPr>
                <w:rFonts w:ascii="Arial" w:hAnsi="Arial" w:cs="Arial"/>
                <w:sz w:val="20"/>
              </w:rPr>
              <w:t xml:space="preserve">l recurrente reclama que se </w:t>
            </w:r>
            <w:r w:rsidR="00974E42">
              <w:rPr>
                <w:rFonts w:ascii="Arial" w:hAnsi="Arial" w:cs="Arial"/>
                <w:sz w:val="20"/>
              </w:rPr>
              <w:t>le</w:t>
            </w:r>
            <w:r w:rsidR="00334C32">
              <w:rPr>
                <w:rFonts w:ascii="Arial" w:hAnsi="Arial" w:cs="Arial"/>
                <w:sz w:val="20"/>
              </w:rPr>
              <w:t xml:space="preserve"> detuvo y juzgó sin justificación.</w:t>
            </w:r>
          </w:p>
        </w:tc>
      </w:tr>
      <w:tr w:rsidR="00CB65B9" w:rsidTr="00CB65B9">
        <w:tc>
          <w:tcPr>
            <w:tcW w:w="8978" w:type="dxa"/>
            <w:gridSpan w:val="5"/>
            <w:tcBorders>
              <w:top w:val="single" w:sz="4" w:space="0" w:color="auto"/>
              <w:left w:val="single" w:sz="4" w:space="0" w:color="auto"/>
              <w:bottom w:val="single" w:sz="4" w:space="0" w:color="auto"/>
              <w:right w:val="single" w:sz="4" w:space="0" w:color="auto"/>
            </w:tcBorders>
            <w:hideMark/>
          </w:tcPr>
          <w:p w:rsidR="00CB65B9" w:rsidRDefault="00CB65B9" w:rsidP="00974E42">
            <w:pPr>
              <w:tabs>
                <w:tab w:val="left" w:pos="3369"/>
              </w:tabs>
              <w:spacing w:after="80"/>
              <w:rPr>
                <w:rFonts w:ascii="Arial" w:hAnsi="Arial" w:cs="Arial"/>
                <w:sz w:val="20"/>
              </w:rPr>
            </w:pPr>
            <w:r>
              <w:rPr>
                <w:rFonts w:ascii="Arial" w:hAnsi="Arial" w:cs="Arial"/>
                <w:b/>
                <w:sz w:val="20"/>
              </w:rPr>
              <w:t xml:space="preserve">Respuesta del </w:t>
            </w:r>
            <w:r w:rsidR="00974E42">
              <w:rPr>
                <w:rFonts w:ascii="Arial" w:hAnsi="Arial" w:cs="Arial"/>
                <w:b/>
                <w:sz w:val="20"/>
              </w:rPr>
              <w:t>r</w:t>
            </w:r>
            <w:r>
              <w:rPr>
                <w:rFonts w:ascii="Arial" w:hAnsi="Arial" w:cs="Arial"/>
                <w:b/>
                <w:sz w:val="20"/>
              </w:rPr>
              <w:t xml:space="preserve">ecurrido: </w:t>
            </w:r>
            <w:r>
              <w:rPr>
                <w:rFonts w:ascii="Arial" w:hAnsi="Arial" w:cs="Arial"/>
                <w:sz w:val="20"/>
              </w:rPr>
              <w:t>E</w:t>
            </w:r>
            <w:r w:rsidR="00334C32">
              <w:rPr>
                <w:rFonts w:ascii="Arial" w:hAnsi="Arial" w:cs="Arial"/>
                <w:sz w:val="20"/>
              </w:rPr>
              <w:t>l recurrente se encuentra detenido por una sentencia firme en su contra, por los delitos de portación de arma prohibida y amenaza con arma blanca.</w:t>
            </w:r>
          </w:p>
        </w:tc>
      </w:tr>
      <w:tr w:rsidR="00CB65B9" w:rsidTr="00974E42">
        <w:tc>
          <w:tcPr>
            <w:tcW w:w="2518" w:type="dxa"/>
            <w:gridSpan w:val="2"/>
            <w:tcBorders>
              <w:top w:val="single" w:sz="4" w:space="0" w:color="auto"/>
              <w:left w:val="single" w:sz="4" w:space="0" w:color="auto"/>
              <w:bottom w:val="single" w:sz="4" w:space="0" w:color="auto"/>
              <w:right w:val="single" w:sz="4" w:space="0" w:color="auto"/>
            </w:tcBorders>
            <w:hideMark/>
          </w:tcPr>
          <w:p w:rsidR="00CB65B9" w:rsidRDefault="00CB65B9" w:rsidP="00974E42">
            <w:pPr>
              <w:tabs>
                <w:tab w:val="left" w:pos="3369"/>
              </w:tabs>
              <w:spacing w:after="80"/>
              <w:rPr>
                <w:rFonts w:ascii="Arial" w:hAnsi="Arial" w:cs="Arial"/>
                <w:b/>
                <w:sz w:val="20"/>
              </w:rPr>
            </w:pPr>
            <w:r>
              <w:rPr>
                <w:rFonts w:ascii="Arial" w:hAnsi="Arial" w:cs="Arial"/>
                <w:b/>
                <w:sz w:val="20"/>
              </w:rPr>
              <w:t xml:space="preserve">Parte </w:t>
            </w:r>
            <w:r w:rsidR="00974E42">
              <w:rPr>
                <w:rFonts w:ascii="Arial" w:hAnsi="Arial" w:cs="Arial"/>
                <w:b/>
                <w:sz w:val="20"/>
              </w:rPr>
              <w:t>d</w:t>
            </w:r>
            <w:r>
              <w:rPr>
                <w:rFonts w:ascii="Arial" w:hAnsi="Arial" w:cs="Arial"/>
                <w:b/>
                <w:sz w:val="20"/>
              </w:rPr>
              <w:t>ispositiva</w:t>
            </w:r>
          </w:p>
        </w:tc>
        <w:tc>
          <w:tcPr>
            <w:tcW w:w="6460" w:type="dxa"/>
            <w:gridSpan w:val="3"/>
            <w:tcBorders>
              <w:top w:val="single" w:sz="4" w:space="0" w:color="auto"/>
              <w:left w:val="single" w:sz="4" w:space="0" w:color="auto"/>
              <w:bottom w:val="single" w:sz="4" w:space="0" w:color="auto"/>
              <w:right w:val="single" w:sz="4" w:space="0" w:color="auto"/>
            </w:tcBorders>
            <w:hideMark/>
          </w:tcPr>
          <w:p w:rsidR="00CB65B9" w:rsidRDefault="00CB65B9" w:rsidP="00974E42">
            <w:pPr>
              <w:tabs>
                <w:tab w:val="left" w:pos="3369"/>
              </w:tabs>
              <w:spacing w:after="80"/>
              <w:rPr>
                <w:rFonts w:ascii="Arial" w:hAnsi="Arial" w:cs="Arial"/>
                <w:sz w:val="20"/>
              </w:rPr>
            </w:pPr>
            <w:r>
              <w:rPr>
                <w:rFonts w:ascii="Arial" w:hAnsi="Arial" w:cs="Arial"/>
                <w:sz w:val="20"/>
              </w:rPr>
              <w:t>Sin lugar (</w:t>
            </w:r>
            <w:r w:rsidR="00334C32">
              <w:rPr>
                <w:rFonts w:ascii="Arial" w:hAnsi="Arial" w:cs="Arial"/>
                <w:sz w:val="20"/>
              </w:rPr>
              <w:t>la detención del recurrente se fundamenta en una sentencia firme en su contra</w:t>
            </w:r>
            <w:bookmarkStart w:id="0" w:name="_GoBack"/>
            <w:bookmarkEnd w:id="0"/>
            <w:r>
              <w:rPr>
                <w:rFonts w:ascii="Arial" w:hAnsi="Arial" w:cs="Arial"/>
                <w:sz w:val="20"/>
              </w:rPr>
              <w:t>).</w:t>
            </w:r>
          </w:p>
        </w:tc>
      </w:tr>
    </w:tbl>
    <w:p w:rsidR="00CB65B9" w:rsidRDefault="00CB65B9" w:rsidP="00CB65B9">
      <w:pPr>
        <w:spacing w:line="360" w:lineRule="auto"/>
        <w:rPr>
          <w:sz w:val="28"/>
        </w:rPr>
      </w:pPr>
    </w:p>
    <w:p w:rsidR="00CB65B9" w:rsidRDefault="00CB65B9" w:rsidP="00CB65B9">
      <w:pPr>
        <w:tabs>
          <w:tab w:val="center" w:pos="4419"/>
          <w:tab w:val="right" w:pos="8838"/>
        </w:tabs>
        <w:spacing w:line="360" w:lineRule="auto"/>
        <w:rPr>
          <w:rFonts w:ascii="Times New Roman" w:hAnsi="Times New Roman" w:cs="Times New Roman"/>
          <w:b/>
          <w:sz w:val="28"/>
        </w:rPr>
      </w:pPr>
      <w:r>
        <w:rPr>
          <w:rFonts w:ascii="Times New Roman" w:hAnsi="Times New Roman" w:cs="Times New Roman"/>
          <w:b/>
          <w:sz w:val="28"/>
        </w:rPr>
        <w:tab/>
        <w:t>N° 10</w:t>
      </w:r>
      <w:r>
        <w:rPr>
          <w:rFonts w:ascii="Times New Roman" w:hAnsi="Times New Roman" w:cs="Times New Roman"/>
          <w:b/>
          <w:sz w:val="28"/>
        </w:rPr>
        <w:tab/>
      </w:r>
    </w:p>
    <w:p w:rsidR="00CB65B9" w:rsidRDefault="00CB65B9" w:rsidP="00CB65B9">
      <w:pPr>
        <w:spacing w:line="360" w:lineRule="auto"/>
        <w:jc w:val="both"/>
        <w:rPr>
          <w:rFonts w:ascii="Times New Roman" w:hAnsi="Times New Roman" w:cs="Times New Roman"/>
          <w:b/>
          <w:sz w:val="28"/>
        </w:rPr>
      </w:pPr>
      <w:r>
        <w:rPr>
          <w:rFonts w:ascii="Times New Roman" w:hAnsi="Times New Roman" w:cs="Times New Roman"/>
          <w:b/>
          <w:sz w:val="28"/>
        </w:rPr>
        <w:t>SESIÓN DE LA CORTE INTERINA VERIFICADA a las catorce horas y diez minutos del siete de febrero de mil novecientos cuarenta y uno</w:t>
      </w:r>
      <w:r>
        <w:rPr>
          <w:rFonts w:ascii="Times New Roman" w:hAnsi="Times New Roman" w:cs="Times New Roman"/>
          <w:sz w:val="28"/>
        </w:rPr>
        <w:t>, con la concurrencia de los señores Magistrados Dávila</w:t>
      </w:r>
      <w:r w:rsidR="00974E42">
        <w:rPr>
          <w:rFonts w:ascii="Times New Roman" w:hAnsi="Times New Roman" w:cs="Times New Roman"/>
          <w:sz w:val="28"/>
        </w:rPr>
        <w:t xml:space="preserve"> (</w:t>
      </w:r>
      <w:r>
        <w:rPr>
          <w:rFonts w:ascii="Times New Roman" w:hAnsi="Times New Roman" w:cs="Times New Roman"/>
          <w:sz w:val="28"/>
        </w:rPr>
        <w:t>Presidente</w:t>
      </w:r>
      <w:r w:rsidR="00974E42">
        <w:rPr>
          <w:rFonts w:ascii="Times New Roman" w:hAnsi="Times New Roman" w:cs="Times New Roman"/>
          <w:sz w:val="28"/>
        </w:rPr>
        <w:t>),</w:t>
      </w:r>
      <w:r>
        <w:rPr>
          <w:rFonts w:ascii="Times New Roman" w:hAnsi="Times New Roman" w:cs="Times New Roman"/>
          <w:sz w:val="28"/>
        </w:rPr>
        <w:t xml:space="preserve"> Vargas Pacheco y Alfaro.</w:t>
      </w:r>
    </w:p>
    <w:p w:rsidR="00CB65B9" w:rsidRDefault="00CB65B9" w:rsidP="00CB65B9">
      <w:pPr>
        <w:spacing w:line="360" w:lineRule="auto"/>
        <w:jc w:val="center"/>
        <w:rPr>
          <w:rFonts w:ascii="Times New Roman" w:hAnsi="Times New Roman" w:cs="Times New Roman"/>
          <w:sz w:val="28"/>
          <w:szCs w:val="28"/>
        </w:rPr>
      </w:pPr>
      <w:r>
        <w:rPr>
          <w:rFonts w:ascii="Times New Roman" w:hAnsi="Times New Roman" w:cs="Times New Roman"/>
          <w:b/>
          <w:sz w:val="28"/>
          <w:szCs w:val="28"/>
        </w:rPr>
        <w:t>Artículo II</w:t>
      </w:r>
    </w:p>
    <w:p w:rsidR="00CB65B9" w:rsidRDefault="00CB65B9" w:rsidP="00CB65B9">
      <w:pPr>
        <w:spacing w:line="360" w:lineRule="auto"/>
        <w:ind w:firstLine="708"/>
        <w:jc w:val="both"/>
        <w:rPr>
          <w:sz w:val="28"/>
          <w:szCs w:val="28"/>
        </w:rPr>
      </w:pPr>
      <w:r>
        <w:rPr>
          <w:rFonts w:ascii="Times New Roman" w:hAnsi="Times New Roman" w:cs="Times New Roman"/>
          <w:sz w:val="28"/>
          <w:szCs w:val="28"/>
        </w:rPr>
        <w:t xml:space="preserve">Vistos: 1) El memorial de </w:t>
      </w:r>
      <w:r w:rsidRPr="00E01E69">
        <w:rPr>
          <w:rFonts w:ascii="Times New Roman" w:hAnsi="Times New Roman" w:cs="Times New Roman"/>
          <w:b/>
          <w:sz w:val="28"/>
          <w:szCs w:val="28"/>
        </w:rPr>
        <w:t>ESTANISLAO ENRÍQUEZ PRADO</w:t>
      </w:r>
      <w:r>
        <w:rPr>
          <w:rFonts w:ascii="Times New Roman" w:hAnsi="Times New Roman" w:cs="Times New Roman"/>
          <w:sz w:val="28"/>
          <w:szCs w:val="28"/>
        </w:rPr>
        <w:t xml:space="preserve"> en que dice que festejando la Navidad tomó demasiado licor y como portaba su cuchillo que le </w:t>
      </w:r>
      <w:r w:rsidR="00E01E69">
        <w:rPr>
          <w:rFonts w:ascii="Times New Roman" w:hAnsi="Times New Roman" w:cs="Times New Roman"/>
          <w:sz w:val="28"/>
          <w:szCs w:val="28"/>
        </w:rPr>
        <w:t>sirve</w:t>
      </w:r>
      <w:r>
        <w:rPr>
          <w:rFonts w:ascii="Times New Roman" w:hAnsi="Times New Roman" w:cs="Times New Roman"/>
          <w:sz w:val="28"/>
          <w:szCs w:val="28"/>
        </w:rPr>
        <w:t xml:space="preserve"> para sus trabajos, fue detenido y juzgado por portación de arma prohibida y por ebriedad, y que como esas condenas carecen de justificación, interpone el recurso de hábeas corpus. 2) El informe del Agente Principal de Policía Judicial de la ciudad de Puntarenas en que manifiesta que por sentencia confirmada por el Gobernador de la provincia, condenó a Enríquez por las faltas de portación de arma prohibida y amenazas con arma blanca al</w:t>
      </w:r>
      <w:r w:rsidR="00E01E69">
        <w:rPr>
          <w:rFonts w:ascii="Times New Roman" w:hAnsi="Times New Roman" w:cs="Times New Roman"/>
          <w:sz w:val="28"/>
          <w:szCs w:val="28"/>
        </w:rPr>
        <w:t xml:space="preserve"> Agente de Policía de Boca de </w:t>
      </w:r>
      <w:proofErr w:type="spellStart"/>
      <w:r w:rsidR="00E01E69">
        <w:rPr>
          <w:rFonts w:ascii="Times New Roman" w:hAnsi="Times New Roman" w:cs="Times New Roman"/>
          <w:sz w:val="28"/>
          <w:szCs w:val="28"/>
        </w:rPr>
        <w:t>Tárcoles</w:t>
      </w:r>
      <w:proofErr w:type="spellEnd"/>
      <w:r w:rsidR="00E01E69">
        <w:rPr>
          <w:rFonts w:ascii="Times New Roman" w:hAnsi="Times New Roman" w:cs="Times New Roman"/>
          <w:sz w:val="28"/>
          <w:szCs w:val="28"/>
        </w:rPr>
        <w:t xml:space="preserve">, </w:t>
      </w:r>
      <w:proofErr w:type="spellStart"/>
      <w:r w:rsidR="00E01E69">
        <w:rPr>
          <w:rFonts w:ascii="Times New Roman" w:hAnsi="Times New Roman" w:cs="Times New Roman"/>
          <w:sz w:val="28"/>
          <w:szCs w:val="28"/>
        </w:rPr>
        <w:t>A</w:t>
      </w:r>
      <w:r>
        <w:rPr>
          <w:rFonts w:ascii="Times New Roman" w:hAnsi="Times New Roman" w:cs="Times New Roman"/>
          <w:sz w:val="28"/>
          <w:szCs w:val="28"/>
        </w:rPr>
        <w:t>ntenor</w:t>
      </w:r>
      <w:proofErr w:type="spellEnd"/>
      <w:r>
        <w:rPr>
          <w:rFonts w:ascii="Times New Roman" w:hAnsi="Times New Roman" w:cs="Times New Roman"/>
          <w:sz w:val="28"/>
          <w:szCs w:val="28"/>
        </w:rPr>
        <w:t xml:space="preserve"> Castellón Berrocal, a descontar </w:t>
      </w:r>
      <w:r w:rsidR="00E01E69">
        <w:rPr>
          <w:rFonts w:ascii="Times New Roman" w:hAnsi="Times New Roman" w:cs="Times New Roman"/>
          <w:sz w:val="28"/>
          <w:szCs w:val="28"/>
        </w:rPr>
        <w:t>ciento</w:t>
      </w:r>
      <w:r>
        <w:rPr>
          <w:rFonts w:ascii="Times New Roman" w:hAnsi="Times New Roman" w:cs="Times New Roman"/>
          <w:sz w:val="28"/>
          <w:szCs w:val="28"/>
        </w:rPr>
        <w:t xml:space="preserve"> veinte días de arresto por ambas faltas, o su equivalente en multa. Se acordó declarar sin lugar el recuso por existir una </w:t>
      </w:r>
      <w:r w:rsidR="00E01E69">
        <w:rPr>
          <w:rFonts w:ascii="Times New Roman" w:hAnsi="Times New Roman" w:cs="Times New Roman"/>
          <w:sz w:val="28"/>
          <w:szCs w:val="28"/>
        </w:rPr>
        <w:t>sentencia</w:t>
      </w:r>
      <w:r>
        <w:rPr>
          <w:rFonts w:ascii="Times New Roman" w:hAnsi="Times New Roman" w:cs="Times New Roman"/>
          <w:sz w:val="28"/>
          <w:szCs w:val="28"/>
        </w:rPr>
        <w:t xml:space="preserve"> firme contra el recurrente.  </w:t>
      </w:r>
    </w:p>
    <w:p w:rsidR="00F963AC" w:rsidRDefault="00974E42"/>
    <w:sectPr w:rsidR="00F963AC" w:rsidSect="00CF4B5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CB65B9"/>
    <w:rsid w:val="00334C32"/>
    <w:rsid w:val="00411BF0"/>
    <w:rsid w:val="006633EB"/>
    <w:rsid w:val="00974E42"/>
    <w:rsid w:val="00C623B5"/>
    <w:rsid w:val="00CB65B9"/>
    <w:rsid w:val="00CF4B5E"/>
    <w:rsid w:val="00E01E6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6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6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1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250</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2016-10-13T17:59:00Z</dcterms:created>
  <dcterms:modified xsi:type="dcterms:W3CDTF">2016-10-18T20:24:00Z</dcterms:modified>
</cp:coreProperties>
</file>