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4" w:rsidRPr="00317330" w:rsidRDefault="00785564" w:rsidP="00785564">
      <w:pPr>
        <w:jc w:val="center"/>
        <w:rPr>
          <w:b/>
        </w:rPr>
      </w:pPr>
      <w:r>
        <w:rPr>
          <w:b/>
        </w:rPr>
        <w:t>N° 16</w:t>
      </w:r>
    </w:p>
    <w:p w:rsidR="00785564" w:rsidRDefault="00785564" w:rsidP="00785564">
      <w:pPr>
        <w:ind w:firstLine="708"/>
        <w:jc w:val="both"/>
      </w:pPr>
      <w:r>
        <w:t>Sesión extraordinaria de la Corte Plena celebrada a las tres de la tarde del veintisiete de enero de mil novecientos veintidós, con asistencia de los Magistrados Oreamuno, Presidente; Castro Ureña, Arguello de Vars, Ross, Guardia, Guzmán, Álvarez, Monge, Vargas, Castro Rodríguez y del Conjuez Marín Calderón.</w:t>
      </w:r>
    </w:p>
    <w:p w:rsidR="00785564" w:rsidRPr="00317330" w:rsidRDefault="00785564" w:rsidP="00785564">
      <w:pPr>
        <w:jc w:val="center"/>
        <w:rPr>
          <w:b/>
        </w:rPr>
      </w:pPr>
      <w:r>
        <w:rPr>
          <w:b/>
        </w:rPr>
        <w:t>Artículo único</w:t>
      </w:r>
    </w:p>
    <w:p w:rsidR="00785564" w:rsidRDefault="00785564" w:rsidP="00785564">
      <w:pPr>
        <w:ind w:firstLine="708"/>
        <w:jc w:val="both"/>
      </w:pPr>
      <w:r>
        <w:t>Se dio cuenta del recurso de Hábeas Corpus interpuesto por Francisco Valdelomar Olivares en que expone que hace seis meses se encuentra preso en la Cárcel de Liberia</w:t>
      </w:r>
      <w:r w:rsidR="00963ACD">
        <w:t xml:space="preserve"> por los delitos de lesiones, hurto de un rifle máuser y fabricación clandestina de aguardiente. Que solicitó su excarcelación con fianza de haz </w:t>
      </w:r>
      <w:r w:rsidR="00C61219">
        <w:t xml:space="preserve">y le fue concedida por el Alcalde instructor, exigiéndole además un depósito de mil colones por el delito últimamente citado: que apeló de esa resolución que considera ilegal toda vez que no se ha establecido de manera clara y precisa la existencia de ese delito y que como hace tres meses que la alzada se tramita en la Sala Segunda y que no hay esperanza de que sea resuelta y constituyendo el auto de detención un simple arresto no puede ir más allá del máximum en que la ley le impone como pena y que fundado en los artículos </w:t>
      </w:r>
      <w:r w:rsidR="00B57BCE">
        <w:t>1° a 9° de la Ley de 12</w:t>
      </w:r>
      <w:r w:rsidR="00F03428">
        <w:t xml:space="preserve"> de Noviembre de 1909 interpone el Hábeas Corpus a fin de que se decrete su inmediata libertad y se proceda contra los responsables de la prisión que ilegalmente sufre. El Magistrado Vargas manifestó que aun cuando la solicitud en examen contiene dos partes: un Hábeas Corpus por una detención que no ha emanado de la Sala Segunda y una queja que puede comprender la demora del asunto en aquellas oficinas, él y su compañero de Sala, el Magistrado Castro Rodríguez estaban dispuestos a excusarse formalmente de conocer del Hábeas Corpus, salvo el parecer contrario de la Corte; y que en cuanto a la queja, abandonarían su asiento tan pronto se tratara de ella. El señor Presidente con el objeto de evitar la demora del recurso y demás consecuencias de una excusa que estimaba innecesaria, resolvió someter a votación si el Tribunal consideraba estar bien integrado para conocer del Hábeas Corpus. La votación resultó afirmativa. En consecuencia se puso a discusión el recurso y con vista de los autos de excarcelación pedidos a la Sala Segunda, se resolvió: sin lugar por no estar comprendido en ninguno de los casos del artículo 8° de la Ley de Hábeas Corpus</w:t>
      </w:r>
      <w:r>
        <w:t>.</w:t>
      </w:r>
    </w:p>
    <w:p w:rsidR="00785564" w:rsidRDefault="00785564" w:rsidP="00785564">
      <w:pPr>
        <w:ind w:firstLine="708"/>
        <w:jc w:val="right"/>
      </w:pPr>
      <w:r>
        <w:t>Terminó la sesión.</w:t>
      </w:r>
    </w:p>
    <w:sectPr w:rsidR="0078556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85564"/>
    <w:rsid w:val="00785564"/>
    <w:rsid w:val="00952DA6"/>
    <w:rsid w:val="00956078"/>
    <w:rsid w:val="00963ACD"/>
    <w:rsid w:val="00964F29"/>
    <w:rsid w:val="00B57BCE"/>
    <w:rsid w:val="00C61219"/>
    <w:rsid w:val="00F03428"/>
    <w:rsid w:val="00F8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2016-07-12T21:57:00Z</dcterms:created>
  <dcterms:modified xsi:type="dcterms:W3CDTF">2016-07-13T13:34:00Z</dcterms:modified>
</cp:coreProperties>
</file>