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71" w:rsidRPr="00317330" w:rsidRDefault="00404071" w:rsidP="00404071">
      <w:pPr>
        <w:jc w:val="center"/>
        <w:rPr>
          <w:b/>
        </w:rPr>
      </w:pPr>
      <w:r>
        <w:rPr>
          <w:b/>
        </w:rPr>
        <w:t>N° 97</w:t>
      </w:r>
    </w:p>
    <w:p w:rsidR="00404071" w:rsidRDefault="00404071" w:rsidP="00404071">
      <w:pPr>
        <w:ind w:firstLine="708"/>
        <w:jc w:val="both"/>
      </w:pPr>
      <w:r>
        <w:t>Sesión ordinaria de la Corte Plena celebrada a las dos y media de la tarde del once de setiembre de mil novecientos veintidós, con asistencia de los Magistrados: Oreamuno, Presidente; Dávila, Vargas, Ross, Guardia, Serrano, Solórzano, Guzmán, Álvarez, Castro y Fernández.</w:t>
      </w:r>
    </w:p>
    <w:p w:rsidR="00404071" w:rsidRPr="00317330" w:rsidRDefault="00404071" w:rsidP="00404071">
      <w:pPr>
        <w:jc w:val="center"/>
        <w:rPr>
          <w:b/>
        </w:rPr>
      </w:pPr>
      <w:r>
        <w:rPr>
          <w:b/>
        </w:rPr>
        <w:t>Artículo II</w:t>
      </w:r>
    </w:p>
    <w:p w:rsidR="00404071" w:rsidRDefault="00404071" w:rsidP="00404071">
      <w:pPr>
        <w:ind w:firstLine="708"/>
        <w:jc w:val="both"/>
      </w:pPr>
      <w:r>
        <w:t>Se procedió a conocer del recurso de hábeas corpus interpuesto por Miguel Ángel Corrales a su favor. El Magistrado Serrano, se retiró y el Conjuez Jorge Herrera Paut, quien lo sustituye en el conocimiento de este asunto, entró y ocupó su asiento en el Tribunal. Habiendo sido allanada la excusa presentada por el Magistrado Castro, se declaró hábil a este funcionario para entender del recurso en referencia. Se procedió l</w:t>
      </w:r>
      <w:r w:rsidR="00E5359C">
        <w:t xml:space="preserve">uego a la lectura del respectivo escrito en el que alega el quejoso que hace ocho meses se encuentra detenido preventivamente como indiciado o cómplice en delito de robo en perjuicio del señor Antonio Escarré; que ha solicitado la excarcelación bajo fianza y se le ha denegado por lo que, de acuerdo con los artículos 1°, 2° y siguientes de la Ley de 12 de noviembre de 1909, interpone el recurso dicho a efecto de que se decrete su inmediata libertad; y visto </w:t>
      </w:r>
      <w:r w:rsidR="007D2E03">
        <w:t xml:space="preserve">el informe del Juez Segundo del Crimen quien expone que contra el recurrente se instruye causa por robo en daño del señor Antonio Escarré; que el catorce de marzo dictó auto de prisión y enjuiciamiento contra él y otros </w:t>
      </w:r>
      <w:proofErr w:type="spellStart"/>
      <w:r w:rsidR="007D2E03">
        <w:t>coindiciados</w:t>
      </w:r>
      <w:proofErr w:type="spellEnd"/>
      <w:r w:rsidR="007D2E03">
        <w:t>; que apelada esa resolución, se encuentra aún en la Sala Segunda, y que la excarcelación solicitada por el recurrente fue denegada y confirmada la denegatoria por el Superior, se resolvió: contra el voto del Magistrado Fernández, sin lugar el recurso por constar del informe anterior y de los respectivos autos, que al recurrente se dictó auto de prisión en proceso por delito y en que la excarcelación no se halla en ninguno de los casos en que la ley la permite</w:t>
      </w:r>
      <w:r>
        <w:t>.</w:t>
      </w:r>
    </w:p>
    <w:p w:rsidR="00404071" w:rsidRDefault="00404071" w:rsidP="00404071">
      <w:pPr>
        <w:ind w:firstLine="708"/>
        <w:jc w:val="right"/>
      </w:pPr>
      <w:r>
        <w:t>Terminó la sesión.</w:t>
      </w:r>
    </w:p>
    <w:sectPr w:rsidR="0040407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404071"/>
    <w:rsid w:val="00404071"/>
    <w:rsid w:val="007D2E03"/>
    <w:rsid w:val="00956078"/>
    <w:rsid w:val="00E5359C"/>
    <w:rsid w:val="00F1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FF88-30E9-4D35-8A1C-5F1CA1C7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2016-07-18T21:51:00Z</dcterms:created>
  <dcterms:modified xsi:type="dcterms:W3CDTF">2016-07-18T22:17:00Z</dcterms:modified>
</cp:coreProperties>
</file>