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0A" w:rsidRPr="00317330" w:rsidRDefault="00A5480A" w:rsidP="00A5480A">
      <w:pPr>
        <w:jc w:val="center"/>
        <w:rPr>
          <w:b/>
        </w:rPr>
      </w:pPr>
      <w:r>
        <w:rPr>
          <w:b/>
        </w:rPr>
        <w:t>N° 25</w:t>
      </w:r>
    </w:p>
    <w:p w:rsidR="00A5480A" w:rsidRDefault="00A5480A" w:rsidP="00CB16AB">
      <w:pPr>
        <w:ind w:firstLine="708"/>
        <w:jc w:val="both"/>
      </w:pPr>
      <w:r>
        <w:t>Sesión ordinaria de Corte Plena celebrada a las dos y media de la tarde del veintidós de abril de mil novecientos veintinueve, con asistencia de los señores</w:t>
      </w:r>
      <w:r w:rsidR="00CB16AB">
        <w:t xml:space="preserve"> Magistrados</w:t>
      </w:r>
      <w:r>
        <w:t xml:space="preserve"> Trejos, Presidente accidental; Dávila, Vargas Pacheco, Solórzano, Álvarez, Guzmán, Fernández Bolandi, Castro y Fernández Rodríguez y Conjuez Licenciado Manuel Echeverría Aguilar.</w:t>
      </w:r>
    </w:p>
    <w:p w:rsidR="00A5480A" w:rsidRPr="00317330" w:rsidRDefault="00A5480A" w:rsidP="00A5480A">
      <w:pPr>
        <w:jc w:val="center"/>
        <w:rPr>
          <w:b/>
        </w:rPr>
      </w:pPr>
      <w:r>
        <w:rPr>
          <w:b/>
        </w:rPr>
        <w:t>Artículo IX</w:t>
      </w:r>
    </w:p>
    <w:p w:rsidR="00A5480A" w:rsidRDefault="00A5480A" w:rsidP="00A5480A">
      <w:pPr>
        <w:ind w:firstLine="708"/>
        <w:jc w:val="both"/>
      </w:pPr>
      <w:r>
        <w:t>Examinado el recurso de Hábeas Corpus interpuesto por Anita Alvarado Castro en favor de Daniel Granados único apellido, fundada en que la detención que este sufre es ilegal y arbitraria; y vistos el informe del Alcalde Primero de Puntarenas y la sumaria respectiva, de los que resulta que contra el citado Granados se dictó auto de detención con apoyo en indicios comprobados que lo señalan como autor de delito de estafa e daño de Malaquías Jiménez, se resolvió: declarar sin lugar el recurso por no encontrarse en ninguno de los casos del artículo 8° de la Ley de Hábeas Corpus.</w:t>
      </w:r>
    </w:p>
    <w:p w:rsidR="00A5480A" w:rsidRDefault="00A5480A" w:rsidP="00A5480A"/>
    <w:p w:rsidR="00A5480A" w:rsidRDefault="00A5480A" w:rsidP="00A5480A"/>
    <w:p w:rsidR="00A5480A" w:rsidRDefault="00A5480A" w:rsidP="00A5480A"/>
    <w:p w:rsidR="00A5480A" w:rsidRDefault="00A5480A" w:rsidP="00A5480A"/>
    <w:p w:rsidR="00A5480A" w:rsidRDefault="00A5480A" w:rsidP="00A5480A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5480A"/>
    <w:rsid w:val="00194333"/>
    <w:rsid w:val="0028209F"/>
    <w:rsid w:val="00956078"/>
    <w:rsid w:val="00A5480A"/>
    <w:rsid w:val="00CB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2016-08-16T16:45:00Z</dcterms:created>
  <dcterms:modified xsi:type="dcterms:W3CDTF">2016-08-16T17:56:00Z</dcterms:modified>
</cp:coreProperties>
</file>