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3" w:rsidRPr="00A248A3" w:rsidRDefault="002177D4" w:rsidP="00795E93">
      <w:pPr>
        <w:jc w:val="center"/>
      </w:pPr>
      <w:r>
        <w:rPr>
          <w:b/>
        </w:rPr>
        <w:t>N° 12</w:t>
      </w:r>
    </w:p>
    <w:p w:rsidR="00795E93" w:rsidRDefault="00795E93" w:rsidP="00795E93">
      <w:pPr>
        <w:ind w:firstLine="708"/>
        <w:jc w:val="both"/>
      </w:pPr>
      <w:r>
        <w:t>Sesión ordinaria de Corte Plena celebrada a las catorce horas del veintinueve de marzo de mil novecientos cuarenta y tres, con asistencia de los señores Magistrados Guardia Quirós, Presidente; Solórzano, Vargas Pacheco, Guzmán, Herrera, Sanabria, Moya, Guier, Alfaro, Trejos, Saborío, Sánchez, González y Ramírez.</w:t>
      </w:r>
    </w:p>
    <w:p w:rsidR="00795E93" w:rsidRDefault="00795E93" w:rsidP="00795E93">
      <w:pPr>
        <w:jc w:val="center"/>
        <w:rPr>
          <w:b/>
        </w:rPr>
      </w:pPr>
      <w:r>
        <w:rPr>
          <w:b/>
        </w:rPr>
        <w:t>Artículo II</w:t>
      </w:r>
    </w:p>
    <w:p w:rsidR="00795E93" w:rsidRDefault="00795E93" w:rsidP="00795E93">
      <w:pPr>
        <w:ind w:firstLine="708"/>
        <w:jc w:val="both"/>
      </w:pPr>
      <w:r>
        <w:t>Se ordenó archivar los recursos de habeas corpus interpuestos por Franklin Vargas, Adriano Sánchez Rojas, José Rafael Rojas y Eduardo Solano, por constar de los informes respectivos que los recurrentes se encuentran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95E93"/>
    <w:rsid w:val="00033CB9"/>
    <w:rsid w:val="002177D4"/>
    <w:rsid w:val="002F6FE2"/>
    <w:rsid w:val="005D77B4"/>
    <w:rsid w:val="00795E93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2016-10-04T16:01:00Z</dcterms:created>
  <dcterms:modified xsi:type="dcterms:W3CDTF">2019-03-19T20:46:00Z</dcterms:modified>
</cp:coreProperties>
</file>