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0" w:rsidRPr="00A248A3" w:rsidRDefault="00172780" w:rsidP="00172780">
      <w:pPr>
        <w:jc w:val="center"/>
      </w:pPr>
      <w:r>
        <w:rPr>
          <w:b/>
        </w:rPr>
        <w:t>N° 17</w:t>
      </w:r>
    </w:p>
    <w:p w:rsidR="00172780" w:rsidRDefault="00172780" w:rsidP="00172780">
      <w:pPr>
        <w:ind w:firstLine="708"/>
        <w:jc w:val="both"/>
      </w:pPr>
      <w:r>
        <w:t>Sesión ordinaria de Corte Plena celebrada a las catorce horas del diecinueve de abril de mil novecientos cuarenta y tres, con asistencia de los señores Magistrados Guardia Quirós, Presidente; Solórzano, Vargas Pacheco, Guzmán, Herrera, Castro, Moya, Alfaro, Iglesias, Trejos, Sánchez, González y Ramírez.</w:t>
      </w:r>
    </w:p>
    <w:p w:rsidR="00172780" w:rsidRDefault="00172780" w:rsidP="00172780">
      <w:pPr>
        <w:jc w:val="center"/>
        <w:rPr>
          <w:b/>
        </w:rPr>
      </w:pPr>
      <w:r>
        <w:rPr>
          <w:b/>
        </w:rPr>
        <w:t>Artículo II</w:t>
      </w:r>
    </w:p>
    <w:p w:rsidR="00172780" w:rsidRDefault="00172780" w:rsidP="00172780">
      <w:pPr>
        <w:ind w:firstLine="708"/>
        <w:jc w:val="both"/>
      </w:pPr>
      <w:r>
        <w:t xml:space="preserve">Se ordenó archivar el recurso de habeas corpus interpuesto por Enrique Villafranca Arburola, por constar del informe del señor Agente Principal de Policía Judicial de esta ciudad, que el </w:t>
      </w:r>
      <w:r w:rsidR="00EF2817">
        <w:t>recurrente se encuentra en libertad</w:t>
      </w:r>
      <w:r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172780"/>
    <w:rsid w:val="00033CB9"/>
    <w:rsid w:val="00172780"/>
    <w:rsid w:val="002D2593"/>
    <w:rsid w:val="002F6FE2"/>
    <w:rsid w:val="00956078"/>
    <w:rsid w:val="00E53CC9"/>
    <w:rsid w:val="00E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2016-10-04T20:49:00Z</dcterms:created>
  <dcterms:modified xsi:type="dcterms:W3CDTF">2019-03-19T20:59:00Z</dcterms:modified>
</cp:coreProperties>
</file>