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874C65" w:rsidTr="00874C65">
        <w:tc>
          <w:tcPr>
            <w:tcW w:w="2244" w:type="dxa"/>
            <w:gridSpan w:val="2"/>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sz w:val="20"/>
              </w:rPr>
            </w:pPr>
            <w:r>
              <w:rPr>
                <w:rFonts w:ascii="Arial" w:hAnsi="Arial" w:cs="Arial"/>
                <w:sz w:val="20"/>
              </w:rPr>
              <w:t>12 de febrero de 1945</w:t>
            </w:r>
          </w:p>
        </w:tc>
        <w:tc>
          <w:tcPr>
            <w:tcW w:w="2244" w:type="dxa"/>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sz w:val="20"/>
              </w:rPr>
            </w:pPr>
            <w:r>
              <w:rPr>
                <w:rFonts w:ascii="Arial" w:hAnsi="Arial" w:cs="Arial"/>
                <w:sz w:val="20"/>
              </w:rPr>
              <w:t>3</w:t>
            </w:r>
          </w:p>
        </w:tc>
      </w:tr>
      <w:tr w:rsidR="00874C65" w:rsidTr="00874C65">
        <w:tc>
          <w:tcPr>
            <w:tcW w:w="8978" w:type="dxa"/>
            <w:gridSpan w:val="5"/>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sz w:val="20"/>
              </w:rPr>
            </w:pPr>
            <w:r>
              <w:rPr>
                <w:rFonts w:ascii="Arial" w:hAnsi="Arial" w:cs="Arial"/>
                <w:b/>
                <w:sz w:val="20"/>
              </w:rPr>
              <w:t xml:space="preserve">Motivo: </w:t>
            </w:r>
            <w:r>
              <w:rPr>
                <w:rFonts w:ascii="Arial" w:hAnsi="Arial" w:cs="Arial"/>
                <w:sz w:val="20"/>
              </w:rPr>
              <w:t>Habeas Corpus</w:t>
            </w:r>
          </w:p>
        </w:tc>
      </w:tr>
      <w:tr w:rsidR="00874C65" w:rsidTr="00874C65">
        <w:tc>
          <w:tcPr>
            <w:tcW w:w="8978" w:type="dxa"/>
            <w:gridSpan w:val="5"/>
            <w:tcBorders>
              <w:top w:val="single" w:sz="4" w:space="0" w:color="auto"/>
              <w:left w:val="single" w:sz="4" w:space="0" w:color="auto"/>
              <w:bottom w:val="single" w:sz="4" w:space="0" w:color="auto"/>
              <w:right w:val="single" w:sz="4" w:space="0" w:color="auto"/>
            </w:tcBorders>
            <w:hideMark/>
          </w:tcPr>
          <w:p w:rsidR="00874C65" w:rsidRDefault="00874C65" w:rsidP="00FE1652">
            <w:pPr>
              <w:tabs>
                <w:tab w:val="left" w:pos="2025"/>
              </w:tabs>
              <w:spacing w:after="60"/>
              <w:rPr>
                <w:rFonts w:ascii="Arial" w:hAnsi="Arial" w:cs="Arial"/>
                <w:sz w:val="20"/>
              </w:rPr>
            </w:pPr>
            <w:r>
              <w:rPr>
                <w:rFonts w:ascii="Arial" w:hAnsi="Arial" w:cs="Arial"/>
                <w:b/>
                <w:sz w:val="20"/>
              </w:rPr>
              <w:t xml:space="preserve">Recurrente: </w:t>
            </w:r>
            <w:r>
              <w:rPr>
                <w:rFonts w:ascii="Arial" w:hAnsi="Arial" w:cs="Arial"/>
                <w:sz w:val="20"/>
              </w:rPr>
              <w:t>Estanislao Taisigua Otero</w:t>
            </w:r>
          </w:p>
        </w:tc>
      </w:tr>
      <w:tr w:rsidR="00874C65" w:rsidTr="00874C65">
        <w:tc>
          <w:tcPr>
            <w:tcW w:w="8978" w:type="dxa"/>
            <w:gridSpan w:val="5"/>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sz w:val="20"/>
              </w:rPr>
            </w:pPr>
            <w:r>
              <w:rPr>
                <w:rFonts w:ascii="Arial" w:hAnsi="Arial" w:cs="Arial"/>
                <w:b/>
                <w:sz w:val="20"/>
              </w:rPr>
              <w:t xml:space="preserve">Recurrido: </w:t>
            </w:r>
            <w:r>
              <w:rPr>
                <w:rFonts w:ascii="Arial" w:hAnsi="Arial" w:cs="Arial"/>
                <w:sz w:val="20"/>
              </w:rPr>
              <w:t>Alcalde Primero de Osa</w:t>
            </w:r>
          </w:p>
        </w:tc>
      </w:tr>
      <w:tr w:rsidR="00874C65" w:rsidTr="00874C65">
        <w:tc>
          <w:tcPr>
            <w:tcW w:w="8978" w:type="dxa"/>
            <w:gridSpan w:val="5"/>
            <w:tcBorders>
              <w:top w:val="single" w:sz="4" w:space="0" w:color="auto"/>
              <w:left w:val="single" w:sz="4" w:space="0" w:color="auto"/>
              <w:bottom w:val="single" w:sz="4" w:space="0" w:color="auto"/>
              <w:right w:val="single" w:sz="4" w:space="0" w:color="auto"/>
            </w:tcBorders>
            <w:hideMark/>
          </w:tcPr>
          <w:p w:rsidR="00874C65" w:rsidRDefault="00874C65" w:rsidP="00FE1652">
            <w:pPr>
              <w:spacing w:after="60"/>
              <w:rPr>
                <w:rFonts w:ascii="Arial" w:hAnsi="Arial" w:cs="Arial"/>
                <w:sz w:val="20"/>
              </w:rPr>
            </w:pPr>
            <w:r>
              <w:rPr>
                <w:rFonts w:ascii="Arial" w:hAnsi="Arial" w:cs="Arial"/>
                <w:b/>
                <w:sz w:val="20"/>
              </w:rPr>
              <w:t xml:space="preserve">Objeto del </w:t>
            </w:r>
            <w:r w:rsidR="00FE1652">
              <w:rPr>
                <w:rFonts w:ascii="Arial" w:hAnsi="Arial" w:cs="Arial"/>
                <w:b/>
                <w:sz w:val="20"/>
              </w:rPr>
              <w:t>r</w:t>
            </w:r>
            <w:r>
              <w:rPr>
                <w:rFonts w:ascii="Arial" w:hAnsi="Arial" w:cs="Arial"/>
                <w:b/>
                <w:sz w:val="20"/>
              </w:rPr>
              <w:t xml:space="preserve">ecurso: </w:t>
            </w:r>
            <w:r>
              <w:rPr>
                <w:rFonts w:ascii="Arial" w:hAnsi="Arial" w:cs="Arial"/>
                <w:sz w:val="20"/>
              </w:rPr>
              <w:t>El recurrente reclama su libertad.</w:t>
            </w:r>
          </w:p>
        </w:tc>
      </w:tr>
      <w:tr w:rsidR="00874C65" w:rsidTr="00874C65">
        <w:tc>
          <w:tcPr>
            <w:tcW w:w="8978" w:type="dxa"/>
            <w:gridSpan w:val="5"/>
            <w:tcBorders>
              <w:top w:val="single" w:sz="4" w:space="0" w:color="auto"/>
              <w:left w:val="single" w:sz="4" w:space="0" w:color="auto"/>
              <w:bottom w:val="single" w:sz="4" w:space="0" w:color="auto"/>
              <w:right w:val="single" w:sz="4" w:space="0" w:color="auto"/>
            </w:tcBorders>
            <w:hideMark/>
          </w:tcPr>
          <w:p w:rsidR="00874C65" w:rsidRDefault="00874C65" w:rsidP="00FE1652">
            <w:pPr>
              <w:tabs>
                <w:tab w:val="left" w:pos="3369"/>
              </w:tabs>
              <w:spacing w:after="60"/>
              <w:rPr>
                <w:rFonts w:ascii="Arial" w:hAnsi="Arial" w:cs="Arial"/>
                <w:sz w:val="20"/>
              </w:rPr>
            </w:pPr>
            <w:r>
              <w:rPr>
                <w:rFonts w:ascii="Arial" w:hAnsi="Arial" w:cs="Arial"/>
                <w:b/>
                <w:sz w:val="20"/>
              </w:rPr>
              <w:t xml:space="preserve">Respuesta del </w:t>
            </w:r>
            <w:r w:rsidR="00FE1652">
              <w:rPr>
                <w:rFonts w:ascii="Arial" w:hAnsi="Arial" w:cs="Arial"/>
                <w:b/>
                <w:sz w:val="20"/>
              </w:rPr>
              <w:t>r</w:t>
            </w:r>
            <w:r>
              <w:rPr>
                <w:rFonts w:ascii="Arial" w:hAnsi="Arial" w:cs="Arial"/>
                <w:b/>
                <w:sz w:val="20"/>
              </w:rPr>
              <w:t xml:space="preserve">ecurrido: </w:t>
            </w:r>
            <w:r>
              <w:rPr>
                <w:rFonts w:ascii="Arial" w:hAnsi="Arial" w:cs="Arial"/>
                <w:sz w:val="20"/>
              </w:rPr>
              <w:t>La privación de libertad del recurrente se debe a un auto de detención dictado en sumaria que se sigue en contra del recurrente por el delito de lesiones.</w:t>
            </w:r>
          </w:p>
        </w:tc>
      </w:tr>
      <w:tr w:rsidR="00874C65" w:rsidTr="00FE1652">
        <w:tc>
          <w:tcPr>
            <w:tcW w:w="2093" w:type="dxa"/>
            <w:tcBorders>
              <w:top w:val="single" w:sz="4" w:space="0" w:color="auto"/>
              <w:left w:val="single" w:sz="4" w:space="0" w:color="auto"/>
              <w:bottom w:val="single" w:sz="4" w:space="0" w:color="auto"/>
              <w:right w:val="single" w:sz="4" w:space="0" w:color="auto"/>
            </w:tcBorders>
            <w:hideMark/>
          </w:tcPr>
          <w:p w:rsidR="00874C65" w:rsidRDefault="00874C65" w:rsidP="00FE1652">
            <w:pPr>
              <w:tabs>
                <w:tab w:val="left" w:pos="3369"/>
              </w:tabs>
              <w:spacing w:after="60"/>
              <w:rPr>
                <w:rFonts w:ascii="Arial" w:hAnsi="Arial" w:cs="Arial"/>
                <w:b/>
                <w:sz w:val="20"/>
              </w:rPr>
            </w:pPr>
            <w:r>
              <w:rPr>
                <w:rFonts w:ascii="Arial" w:hAnsi="Arial" w:cs="Arial"/>
                <w:b/>
                <w:sz w:val="20"/>
              </w:rPr>
              <w:t xml:space="preserve">Parte </w:t>
            </w:r>
            <w:r w:rsidR="00FE1652">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874C65" w:rsidRDefault="00874C65" w:rsidP="00FE1652">
            <w:pPr>
              <w:tabs>
                <w:tab w:val="left" w:pos="3369"/>
              </w:tabs>
              <w:spacing w:after="60"/>
              <w:rPr>
                <w:rFonts w:ascii="Arial" w:hAnsi="Arial" w:cs="Arial"/>
                <w:sz w:val="20"/>
              </w:rPr>
            </w:pPr>
            <w:r>
              <w:rPr>
                <w:rFonts w:ascii="Arial" w:hAnsi="Arial" w:cs="Arial"/>
                <w:sz w:val="20"/>
              </w:rPr>
              <w:t>Sin lugar (la detención del recurrente se basa en un auto de detención fundado en la sumaria que se sigue en su contra).</w:t>
            </w:r>
          </w:p>
        </w:tc>
      </w:tr>
    </w:tbl>
    <w:p w:rsidR="00874C65" w:rsidRDefault="00874C65" w:rsidP="00874C65">
      <w:pPr>
        <w:spacing w:line="360" w:lineRule="auto"/>
        <w:rPr>
          <w:sz w:val="28"/>
        </w:rPr>
      </w:pPr>
    </w:p>
    <w:p w:rsidR="00874C65" w:rsidRDefault="00874C65" w:rsidP="00874C65">
      <w:pPr>
        <w:spacing w:line="360" w:lineRule="auto"/>
        <w:jc w:val="center"/>
        <w:rPr>
          <w:rFonts w:ascii="Times New Roman" w:hAnsi="Times New Roman" w:cs="Times New Roman"/>
          <w:b/>
          <w:sz w:val="28"/>
        </w:rPr>
      </w:pPr>
      <w:r>
        <w:rPr>
          <w:rFonts w:ascii="Times New Roman" w:hAnsi="Times New Roman" w:cs="Times New Roman"/>
          <w:b/>
          <w:sz w:val="28"/>
        </w:rPr>
        <w:t>N° 3</w:t>
      </w:r>
    </w:p>
    <w:p w:rsidR="00FE1652" w:rsidRDefault="00874C65" w:rsidP="00FE1652">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INTERINA celebrada a las catorce horas y treinta minutos del doce de febrero de mil novecientos cuarenta y cinco</w:t>
      </w:r>
      <w:r>
        <w:rPr>
          <w:rFonts w:ascii="Times New Roman" w:hAnsi="Times New Roman" w:cs="Times New Roman"/>
          <w:sz w:val="28"/>
        </w:rPr>
        <w:t>, con asistencia de los señores Magistrados Sanabria Coto, Aguilar Morúa y González Sibaja, bajo la presidencia del primero.</w:t>
      </w:r>
    </w:p>
    <w:p w:rsidR="00874C65" w:rsidRDefault="00874C65" w:rsidP="00FE1652">
      <w:pPr>
        <w:spacing w:after="120" w:line="360" w:lineRule="auto"/>
        <w:jc w:val="both"/>
        <w:rPr>
          <w:rFonts w:ascii="Times New Roman" w:hAnsi="Times New Roman" w:cs="Times New Roman"/>
          <w:sz w:val="28"/>
        </w:rPr>
      </w:pPr>
      <w:r>
        <w:rPr>
          <w:rFonts w:ascii="Times New Roman" w:hAnsi="Times New Roman" w:cs="Times New Roman"/>
          <w:sz w:val="28"/>
        </w:rPr>
        <w:t xml:space="preserve"> </w:t>
      </w:r>
    </w:p>
    <w:p w:rsidR="00874C65" w:rsidRDefault="00874C65" w:rsidP="00FE1652">
      <w:pPr>
        <w:tabs>
          <w:tab w:val="center" w:pos="4419"/>
          <w:tab w:val="left" w:pos="5715"/>
        </w:tabs>
        <w:spacing w:after="120" w:line="360" w:lineRule="auto"/>
        <w:rPr>
          <w:rFonts w:ascii="Times New Roman" w:hAnsi="Times New Roman" w:cs="Times New Roman"/>
          <w:sz w:val="28"/>
          <w:szCs w:val="28"/>
        </w:rPr>
      </w:pPr>
      <w:r>
        <w:rPr>
          <w:rFonts w:ascii="Times New Roman" w:hAnsi="Times New Roman" w:cs="Times New Roman"/>
          <w:b/>
          <w:sz w:val="28"/>
          <w:szCs w:val="28"/>
        </w:rPr>
        <w:tab/>
        <w:t>Artículo V</w:t>
      </w:r>
      <w:bookmarkStart w:id="0" w:name="_GoBack"/>
      <w:bookmarkEnd w:id="0"/>
    </w:p>
    <w:p w:rsidR="00874C65" w:rsidRDefault="00874C65" w:rsidP="00874C65">
      <w:pPr>
        <w:spacing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w:t>
      </w:r>
      <w:r w:rsidR="00FE1652">
        <w:rPr>
          <w:rFonts w:ascii="Times New Roman" w:hAnsi="Times New Roman" w:cs="Times New Roman"/>
          <w:sz w:val="28"/>
        </w:rPr>
        <w:t>Há</w:t>
      </w:r>
      <w:r>
        <w:rPr>
          <w:rFonts w:ascii="Times New Roman" w:hAnsi="Times New Roman" w:cs="Times New Roman"/>
          <w:sz w:val="28"/>
        </w:rPr>
        <w:t xml:space="preserve">beas </w:t>
      </w:r>
      <w:r w:rsidR="00FE1652">
        <w:rPr>
          <w:rFonts w:ascii="Times New Roman" w:hAnsi="Times New Roman" w:cs="Times New Roman"/>
          <w:sz w:val="28"/>
        </w:rPr>
        <w:t>C</w:t>
      </w:r>
      <w:r>
        <w:rPr>
          <w:rFonts w:ascii="Times New Roman" w:hAnsi="Times New Roman" w:cs="Times New Roman"/>
          <w:sz w:val="28"/>
        </w:rPr>
        <w:t xml:space="preserve">orpus interpuesto por </w:t>
      </w:r>
      <w:r w:rsidRPr="00874C65">
        <w:rPr>
          <w:rFonts w:ascii="Times New Roman" w:hAnsi="Times New Roman" w:cs="Times New Roman"/>
          <w:b/>
          <w:sz w:val="28"/>
        </w:rPr>
        <w:t>ESTANISLAO TAISIGUA OTERO</w:t>
      </w:r>
      <w:r>
        <w:rPr>
          <w:rFonts w:ascii="Times New Roman" w:hAnsi="Times New Roman" w:cs="Times New Roman"/>
          <w:sz w:val="28"/>
        </w:rPr>
        <w:t xml:space="preserve"> por haber informado el Alcalde Primero de Osa que el arresto que motivó el recurso se origina en un auto dictado en sumaria que se sigue contra el recurrente por lesiones en perjuicio de Rafael Rojas Rivera.</w:t>
      </w:r>
    </w:p>
    <w:p w:rsidR="00F963AC" w:rsidRDefault="00FE1652"/>
    <w:sectPr w:rsidR="00F963AC" w:rsidSect="002E0D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874C65"/>
    <w:rsid w:val="002E0DA3"/>
    <w:rsid w:val="00411BF0"/>
    <w:rsid w:val="006633EB"/>
    <w:rsid w:val="00874C65"/>
    <w:rsid w:val="00C623B5"/>
    <w:rsid w:val="00FE165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4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936</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2016-11-17T06:29:00Z</dcterms:created>
  <dcterms:modified xsi:type="dcterms:W3CDTF">2016-11-21T16:54:00Z</dcterms:modified>
</cp:coreProperties>
</file>