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7E263D" w:rsidTr="00B06267">
        <w:tc>
          <w:tcPr>
            <w:tcW w:w="2244" w:type="dxa"/>
            <w:gridSpan w:val="2"/>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sz w:val="20"/>
              </w:rPr>
            </w:pPr>
            <w:r>
              <w:rPr>
                <w:rFonts w:ascii="Arial" w:hAnsi="Arial" w:cs="Arial"/>
                <w:sz w:val="20"/>
              </w:rPr>
              <w:t>9 de abril de 1945</w:t>
            </w:r>
          </w:p>
        </w:tc>
        <w:tc>
          <w:tcPr>
            <w:tcW w:w="2244" w:type="dxa"/>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sz w:val="20"/>
              </w:rPr>
            </w:pPr>
            <w:r>
              <w:rPr>
                <w:rFonts w:ascii="Arial" w:hAnsi="Arial" w:cs="Arial"/>
                <w:sz w:val="20"/>
              </w:rPr>
              <w:t>1</w:t>
            </w:r>
            <w:r w:rsidR="00EF3DFE">
              <w:rPr>
                <w:rFonts w:ascii="Arial" w:hAnsi="Arial" w:cs="Arial"/>
                <w:sz w:val="20"/>
              </w:rPr>
              <w:t>8</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M</w:t>
            </w:r>
            <w:r w:rsidR="00B77CA8">
              <w:rPr>
                <w:rFonts w:ascii="Arial" w:hAnsi="Arial" w:cs="Arial"/>
                <w:sz w:val="20"/>
              </w:rPr>
              <w:t>aría Rojas Ureña</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tabs>
                <w:tab w:val="left" w:pos="2025"/>
              </w:tabs>
              <w:spacing w:after="80"/>
              <w:rPr>
                <w:rFonts w:ascii="Arial" w:hAnsi="Arial" w:cs="Arial"/>
                <w:sz w:val="20"/>
              </w:rPr>
            </w:pPr>
            <w:r>
              <w:rPr>
                <w:rFonts w:ascii="Arial" w:hAnsi="Arial" w:cs="Arial"/>
                <w:b/>
                <w:sz w:val="20"/>
              </w:rPr>
              <w:t xml:space="preserve">Tutelado: </w:t>
            </w:r>
            <w:r w:rsidR="00B77CA8">
              <w:rPr>
                <w:rFonts w:ascii="Arial" w:hAnsi="Arial" w:cs="Arial"/>
                <w:sz w:val="20"/>
              </w:rPr>
              <w:t xml:space="preserve">Rodolfo Solano Rojas </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sz w:val="20"/>
              </w:rPr>
            </w:pPr>
            <w:r>
              <w:rPr>
                <w:rFonts w:ascii="Arial" w:hAnsi="Arial" w:cs="Arial"/>
                <w:b/>
                <w:sz w:val="20"/>
              </w:rPr>
              <w:t xml:space="preserve">Recurrido: </w:t>
            </w:r>
            <w:r>
              <w:rPr>
                <w:rFonts w:ascii="Arial" w:hAnsi="Arial" w:cs="Arial"/>
                <w:sz w:val="20"/>
              </w:rPr>
              <w:t>J</w:t>
            </w:r>
            <w:r w:rsidR="00B77CA8">
              <w:rPr>
                <w:rFonts w:ascii="Arial" w:hAnsi="Arial" w:cs="Arial"/>
                <w:sz w:val="20"/>
              </w:rPr>
              <w:t>efe Político de Goicoechea</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spacing w:after="80"/>
              <w:rPr>
                <w:rFonts w:ascii="Arial" w:hAnsi="Arial" w:cs="Arial"/>
                <w:sz w:val="20"/>
              </w:rPr>
            </w:pPr>
            <w:r>
              <w:rPr>
                <w:rFonts w:ascii="Arial" w:hAnsi="Arial" w:cs="Arial"/>
                <w:b/>
                <w:sz w:val="20"/>
              </w:rPr>
              <w:t xml:space="preserve">Objeto del </w:t>
            </w:r>
            <w:r w:rsidR="00EF3DFE">
              <w:rPr>
                <w:rFonts w:ascii="Arial" w:hAnsi="Arial" w:cs="Arial"/>
                <w:b/>
                <w:sz w:val="20"/>
              </w:rPr>
              <w:t>r</w:t>
            </w:r>
            <w:r>
              <w:rPr>
                <w:rFonts w:ascii="Arial" w:hAnsi="Arial" w:cs="Arial"/>
                <w:b/>
                <w:sz w:val="20"/>
              </w:rPr>
              <w:t xml:space="preserve">ecurso: </w:t>
            </w:r>
            <w:r w:rsidR="00B77CA8">
              <w:rPr>
                <w:rFonts w:ascii="Arial" w:hAnsi="Arial" w:cs="Arial"/>
                <w:sz w:val="20"/>
              </w:rPr>
              <w:t>La</w:t>
            </w:r>
            <w:r>
              <w:rPr>
                <w:rFonts w:ascii="Arial" w:hAnsi="Arial" w:cs="Arial"/>
                <w:sz w:val="20"/>
              </w:rPr>
              <w:t xml:space="preserve"> recurrente reclama</w:t>
            </w:r>
            <w:r w:rsidR="00B77CA8">
              <w:rPr>
                <w:rFonts w:ascii="Arial" w:hAnsi="Arial" w:cs="Arial"/>
                <w:sz w:val="20"/>
              </w:rPr>
              <w:t xml:space="preserve"> que el tutelado se encuentra recluido en el Reformatorio sin motivo que lo justifique. </w:t>
            </w:r>
          </w:p>
        </w:tc>
      </w:tr>
      <w:tr w:rsidR="007E263D" w:rsidTr="00B06267">
        <w:tc>
          <w:tcPr>
            <w:tcW w:w="8978" w:type="dxa"/>
            <w:gridSpan w:val="5"/>
            <w:tcBorders>
              <w:top w:val="single" w:sz="4" w:space="0" w:color="auto"/>
              <w:left w:val="single" w:sz="4" w:space="0" w:color="auto"/>
              <w:bottom w:val="single" w:sz="4" w:space="0" w:color="auto"/>
              <w:right w:val="single" w:sz="4" w:space="0" w:color="auto"/>
            </w:tcBorders>
            <w:hideMark/>
          </w:tcPr>
          <w:p w:rsidR="007E263D" w:rsidRDefault="007E263D" w:rsidP="00EF3DFE">
            <w:pPr>
              <w:tabs>
                <w:tab w:val="left" w:pos="3369"/>
              </w:tabs>
              <w:spacing w:after="80"/>
              <w:rPr>
                <w:rFonts w:ascii="Arial" w:hAnsi="Arial" w:cs="Arial"/>
                <w:sz w:val="20"/>
              </w:rPr>
            </w:pPr>
            <w:r>
              <w:rPr>
                <w:rFonts w:ascii="Arial" w:hAnsi="Arial" w:cs="Arial"/>
                <w:b/>
                <w:sz w:val="20"/>
              </w:rPr>
              <w:t xml:space="preserve">Respuesta del </w:t>
            </w:r>
            <w:r w:rsidR="00EF3DFE">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B77CA8">
              <w:rPr>
                <w:rFonts w:ascii="Arial" w:hAnsi="Arial" w:cs="Arial"/>
                <w:sz w:val="20"/>
              </w:rPr>
              <w:t>reclusión del tutelado en el Reformatorio se debe a una sentencia firme en su contra que lo declara exento de pena pero a la vez ordena su reclusión en el Reformatorio, con base en las diligencias por hurto que se le siguieron.</w:t>
            </w:r>
          </w:p>
        </w:tc>
      </w:tr>
      <w:tr w:rsidR="007E263D" w:rsidTr="00EF3DFE">
        <w:tc>
          <w:tcPr>
            <w:tcW w:w="2093" w:type="dxa"/>
            <w:tcBorders>
              <w:top w:val="single" w:sz="4" w:space="0" w:color="auto"/>
              <w:left w:val="single" w:sz="4" w:space="0" w:color="auto"/>
              <w:bottom w:val="single" w:sz="4" w:space="0" w:color="auto"/>
              <w:right w:val="single" w:sz="4" w:space="0" w:color="auto"/>
            </w:tcBorders>
            <w:hideMark/>
          </w:tcPr>
          <w:p w:rsidR="007E263D" w:rsidRDefault="007E263D" w:rsidP="00EF3DFE">
            <w:pPr>
              <w:tabs>
                <w:tab w:val="left" w:pos="3369"/>
              </w:tabs>
              <w:spacing w:after="80"/>
              <w:rPr>
                <w:rFonts w:ascii="Arial" w:hAnsi="Arial" w:cs="Arial"/>
                <w:b/>
                <w:sz w:val="20"/>
              </w:rPr>
            </w:pPr>
            <w:r>
              <w:rPr>
                <w:rFonts w:ascii="Arial" w:hAnsi="Arial" w:cs="Arial"/>
                <w:b/>
                <w:sz w:val="20"/>
              </w:rPr>
              <w:t xml:space="preserve">Parte </w:t>
            </w:r>
            <w:r w:rsidR="00EF3DFE">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7E263D" w:rsidRDefault="007E263D" w:rsidP="00EF3DFE">
            <w:pPr>
              <w:tabs>
                <w:tab w:val="left" w:pos="3369"/>
              </w:tabs>
              <w:spacing w:after="80"/>
              <w:rPr>
                <w:rFonts w:ascii="Arial" w:hAnsi="Arial" w:cs="Arial"/>
                <w:sz w:val="20"/>
              </w:rPr>
            </w:pPr>
            <w:r>
              <w:rPr>
                <w:rFonts w:ascii="Arial" w:hAnsi="Arial" w:cs="Arial"/>
                <w:sz w:val="20"/>
              </w:rPr>
              <w:t>Sin lugar (</w:t>
            </w:r>
            <w:r w:rsidR="00B77CA8">
              <w:rPr>
                <w:rFonts w:ascii="Arial" w:hAnsi="Arial" w:cs="Arial"/>
                <w:sz w:val="20"/>
              </w:rPr>
              <w:t>el tutelado se encuentra recluido en el Reformatorio porque hay una sentencia firme en su contra que así lo ordena</w:t>
            </w:r>
            <w:bookmarkStart w:id="0" w:name="_GoBack"/>
            <w:bookmarkEnd w:id="0"/>
            <w:r>
              <w:rPr>
                <w:rFonts w:ascii="Arial" w:hAnsi="Arial" w:cs="Arial"/>
                <w:sz w:val="20"/>
              </w:rPr>
              <w:t>).</w:t>
            </w:r>
          </w:p>
        </w:tc>
      </w:tr>
    </w:tbl>
    <w:p w:rsidR="007E263D" w:rsidRDefault="007E263D" w:rsidP="007E263D">
      <w:pPr>
        <w:spacing w:line="360" w:lineRule="auto"/>
        <w:rPr>
          <w:sz w:val="28"/>
        </w:rPr>
      </w:pPr>
    </w:p>
    <w:p w:rsidR="007E263D" w:rsidRDefault="007E263D" w:rsidP="007E263D">
      <w:pPr>
        <w:spacing w:line="360" w:lineRule="auto"/>
        <w:jc w:val="center"/>
        <w:rPr>
          <w:rFonts w:ascii="Times New Roman" w:hAnsi="Times New Roman" w:cs="Times New Roman"/>
          <w:b/>
          <w:sz w:val="28"/>
        </w:rPr>
      </w:pPr>
      <w:r>
        <w:rPr>
          <w:rFonts w:ascii="Times New Roman" w:hAnsi="Times New Roman" w:cs="Times New Roman"/>
          <w:b/>
          <w:sz w:val="28"/>
        </w:rPr>
        <w:t>N° 18</w:t>
      </w:r>
    </w:p>
    <w:p w:rsidR="007E263D" w:rsidRDefault="007E263D" w:rsidP="007E263D">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nueve de abril de mil novecientos cuarenta y cinco</w:t>
      </w:r>
      <w:r>
        <w:rPr>
          <w:rFonts w:ascii="Times New Roman" w:hAnsi="Times New Roman" w:cs="Times New Roman"/>
          <w:sz w:val="28"/>
        </w:rPr>
        <w:t>, con asistencia de los señores Magistrados Guardia Quirós</w:t>
      </w:r>
      <w:r w:rsidR="00EF3DFE">
        <w:rPr>
          <w:rFonts w:ascii="Times New Roman" w:hAnsi="Times New Roman" w:cs="Times New Roman"/>
          <w:sz w:val="28"/>
        </w:rPr>
        <w:t xml:space="preserve"> (</w:t>
      </w:r>
      <w:r>
        <w:rPr>
          <w:rFonts w:ascii="Times New Roman" w:hAnsi="Times New Roman" w:cs="Times New Roman"/>
          <w:sz w:val="28"/>
        </w:rPr>
        <w:t>Presidente</w:t>
      </w:r>
      <w:r w:rsidR="00EF3DFE">
        <w:rPr>
          <w:rFonts w:ascii="Times New Roman" w:hAnsi="Times New Roman" w:cs="Times New Roman"/>
          <w:sz w:val="28"/>
        </w:rPr>
        <w:t>),</w:t>
      </w:r>
      <w:r>
        <w:rPr>
          <w:rFonts w:ascii="Times New Roman" w:hAnsi="Times New Roman" w:cs="Times New Roman"/>
          <w:sz w:val="28"/>
        </w:rPr>
        <w:t xml:space="preserve"> Solórzano, Vargas Pacheco, Guzmán, Herrera, Sanabria, Castro, Guier, Iglesias, Saborío, Aguilar, Sánchez, González y Ramírez.</w:t>
      </w:r>
    </w:p>
    <w:p w:rsidR="007E263D" w:rsidRPr="007E263D" w:rsidRDefault="007E263D" w:rsidP="007E263D">
      <w:pPr>
        <w:spacing w:line="360" w:lineRule="auto"/>
        <w:jc w:val="center"/>
        <w:rPr>
          <w:rFonts w:ascii="Times New Roman" w:hAnsi="Times New Roman" w:cs="Times New Roman"/>
          <w:b/>
          <w:sz w:val="28"/>
        </w:rPr>
      </w:pPr>
      <w:r w:rsidRPr="007E263D">
        <w:rPr>
          <w:rFonts w:ascii="Times New Roman" w:hAnsi="Times New Roman" w:cs="Times New Roman"/>
          <w:b/>
          <w:sz w:val="28"/>
        </w:rPr>
        <w:t>Continuación:</w:t>
      </w:r>
    </w:p>
    <w:p w:rsidR="007E263D" w:rsidRDefault="007E263D" w:rsidP="00EF3DFE">
      <w:pPr>
        <w:spacing w:after="120" w:line="360" w:lineRule="auto"/>
        <w:jc w:val="both"/>
        <w:rPr>
          <w:rFonts w:ascii="Times New Roman" w:hAnsi="Times New Roman" w:cs="Times New Roman"/>
          <w:sz w:val="28"/>
        </w:rPr>
      </w:pPr>
      <w:r w:rsidRPr="007E263D">
        <w:rPr>
          <w:rFonts w:ascii="Times New Roman" w:hAnsi="Times New Roman" w:cs="Times New Roman"/>
          <w:b/>
          <w:sz w:val="28"/>
        </w:rPr>
        <w:tab/>
        <w:t>A las catorce horas y treinta minutos se reanuda la sesión</w:t>
      </w:r>
      <w:r>
        <w:rPr>
          <w:rFonts w:ascii="Times New Roman" w:hAnsi="Times New Roman" w:cs="Times New Roman"/>
          <w:sz w:val="28"/>
        </w:rPr>
        <w:t xml:space="preserve"> con asistencia de los señores Magistrados Guardia Quirós, Solórzano, Vargas Pacheco, Guzmán, Herrera, Sanabria, Guier, Iglesias, Trejos, Saborío, Aguilar y Sánchez.</w:t>
      </w:r>
    </w:p>
    <w:p w:rsidR="00EF3DFE" w:rsidRDefault="00EF3DFE" w:rsidP="00EF3DFE">
      <w:pPr>
        <w:spacing w:after="120" w:line="360" w:lineRule="auto"/>
        <w:jc w:val="both"/>
        <w:rPr>
          <w:rFonts w:ascii="Times New Roman" w:hAnsi="Times New Roman" w:cs="Times New Roman"/>
          <w:sz w:val="28"/>
        </w:rPr>
      </w:pPr>
    </w:p>
    <w:p w:rsidR="007E263D" w:rsidRDefault="007E263D" w:rsidP="00EF3DFE">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F963AC" w:rsidRDefault="007E263D" w:rsidP="00EF3DFE">
      <w:pPr>
        <w:spacing w:after="120" w:line="360" w:lineRule="auto"/>
        <w:jc w:val="both"/>
        <w:rPr>
          <w:rFonts w:ascii="Times New Roman" w:hAnsi="Times New Roman" w:cs="Times New Roman"/>
          <w:sz w:val="28"/>
        </w:rPr>
      </w:pPr>
      <w:r>
        <w:tab/>
      </w:r>
      <w:r>
        <w:rPr>
          <w:rFonts w:ascii="Times New Roman" w:hAnsi="Times New Roman" w:cs="Times New Roman"/>
          <w:sz w:val="28"/>
        </w:rPr>
        <w:t>S</w:t>
      </w:r>
      <w:r w:rsidR="00B77CA8">
        <w:rPr>
          <w:rFonts w:ascii="Times New Roman" w:hAnsi="Times New Roman" w:cs="Times New Roman"/>
          <w:sz w:val="28"/>
        </w:rPr>
        <w:t>e</w:t>
      </w:r>
      <w:r>
        <w:rPr>
          <w:rFonts w:ascii="Times New Roman" w:hAnsi="Times New Roman" w:cs="Times New Roman"/>
          <w:sz w:val="28"/>
        </w:rPr>
        <w:t xml:space="preserve"> conoció el recurso de </w:t>
      </w:r>
      <w:r w:rsidR="00EF3DFE">
        <w:rPr>
          <w:rFonts w:ascii="Times New Roman" w:hAnsi="Times New Roman" w:cs="Times New Roman"/>
          <w:sz w:val="28"/>
        </w:rPr>
        <w:t>Há</w:t>
      </w:r>
      <w:r>
        <w:rPr>
          <w:rFonts w:ascii="Times New Roman" w:hAnsi="Times New Roman" w:cs="Times New Roman"/>
          <w:sz w:val="28"/>
        </w:rPr>
        <w:t xml:space="preserve">beas </w:t>
      </w:r>
      <w:r w:rsidR="00EF3DFE">
        <w:rPr>
          <w:rFonts w:ascii="Times New Roman" w:hAnsi="Times New Roman" w:cs="Times New Roman"/>
          <w:sz w:val="28"/>
        </w:rPr>
        <w:t>C</w:t>
      </w:r>
      <w:r>
        <w:rPr>
          <w:rFonts w:ascii="Times New Roman" w:hAnsi="Times New Roman" w:cs="Times New Roman"/>
          <w:sz w:val="28"/>
        </w:rPr>
        <w:t xml:space="preserve">orpus establecido por </w:t>
      </w:r>
      <w:r w:rsidRPr="007E263D">
        <w:rPr>
          <w:rFonts w:ascii="Times New Roman" w:hAnsi="Times New Roman" w:cs="Times New Roman"/>
          <w:b/>
          <w:sz w:val="28"/>
        </w:rPr>
        <w:t xml:space="preserve">MARÍA ROJAS UREÑA </w:t>
      </w:r>
      <w:r>
        <w:rPr>
          <w:rFonts w:ascii="Times New Roman" w:hAnsi="Times New Roman" w:cs="Times New Roman"/>
          <w:sz w:val="28"/>
        </w:rPr>
        <w:t xml:space="preserve">en favor de su hijo menor </w:t>
      </w:r>
      <w:r w:rsidRPr="007E263D">
        <w:rPr>
          <w:rFonts w:ascii="Times New Roman" w:hAnsi="Times New Roman" w:cs="Times New Roman"/>
          <w:b/>
          <w:sz w:val="28"/>
        </w:rPr>
        <w:t>RODOLFO SOLANO ROJAS</w:t>
      </w:r>
      <w:r>
        <w:rPr>
          <w:rFonts w:ascii="Times New Roman" w:hAnsi="Times New Roman" w:cs="Times New Roman"/>
          <w:sz w:val="28"/>
        </w:rPr>
        <w:t xml:space="preserve">, </w:t>
      </w:r>
      <w:r>
        <w:rPr>
          <w:rFonts w:ascii="Times New Roman" w:hAnsi="Times New Roman" w:cs="Times New Roman"/>
          <w:sz w:val="28"/>
        </w:rPr>
        <w:lastRenderedPageBreak/>
        <w:t xml:space="preserve">basado en que éste se encuentra recluido en el Reformatorio sin que haya motivo que justifique tal medida. </w:t>
      </w:r>
    </w:p>
    <w:p w:rsidR="007E263D" w:rsidRDefault="007E263D" w:rsidP="007E263D">
      <w:pPr>
        <w:spacing w:line="360" w:lineRule="auto"/>
        <w:jc w:val="both"/>
      </w:pPr>
      <w:r>
        <w:rPr>
          <w:rFonts w:ascii="Times New Roman" w:hAnsi="Times New Roman" w:cs="Times New Roman"/>
          <w:sz w:val="28"/>
        </w:rPr>
        <w:tab/>
        <w:t xml:space="preserve">Previa deliberación se declaró sin lugar el recurso, en vista del informe suministrado por el Jefe Político de Goicoechea  del expediente respectivo de los que consta que aunque aquél fue declarado exento de pena en las diligencias que por hurto se le siguieron, en la sentencia correspondiente se ordenó su reclusión en dicho establecimiento correccional.  </w:t>
      </w:r>
    </w:p>
    <w:sectPr w:rsidR="007E263D" w:rsidSect="005171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E263D"/>
    <w:rsid w:val="00411BF0"/>
    <w:rsid w:val="0051714A"/>
    <w:rsid w:val="006633EB"/>
    <w:rsid w:val="007E263D"/>
    <w:rsid w:val="00B77CA8"/>
    <w:rsid w:val="00C623B5"/>
    <w:rsid w:val="00EF3DF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2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1597</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2016-11-23T05:33:00Z</dcterms:created>
  <dcterms:modified xsi:type="dcterms:W3CDTF">2016-11-23T22:19:00Z</dcterms:modified>
</cp:coreProperties>
</file>