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323B47" w:rsidTr="00FB0B87">
        <w:tc>
          <w:tcPr>
            <w:tcW w:w="2244" w:type="dxa"/>
            <w:gridSpan w:val="2"/>
            <w:tcBorders>
              <w:top w:val="single" w:sz="4" w:space="0" w:color="auto"/>
              <w:left w:val="single" w:sz="4" w:space="0" w:color="auto"/>
              <w:bottom w:val="single" w:sz="4" w:space="0" w:color="auto"/>
              <w:right w:val="single" w:sz="4" w:space="0" w:color="auto"/>
            </w:tcBorders>
            <w:hideMark/>
          </w:tcPr>
          <w:p w:rsidR="00323B47" w:rsidRDefault="00323B47" w:rsidP="00FB0B87">
            <w:pPr>
              <w:spacing w:after="6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323B47" w:rsidRDefault="00431B40" w:rsidP="00FB0B87">
            <w:pPr>
              <w:spacing w:after="60"/>
              <w:rPr>
                <w:rFonts w:ascii="Arial" w:hAnsi="Arial" w:cs="Arial"/>
                <w:sz w:val="20"/>
              </w:rPr>
            </w:pPr>
            <w:r>
              <w:rPr>
                <w:rFonts w:ascii="Arial" w:hAnsi="Arial" w:cs="Arial"/>
                <w:sz w:val="20"/>
              </w:rPr>
              <w:t>14 de mayo</w:t>
            </w:r>
            <w:r w:rsidR="00FB0B87">
              <w:rPr>
                <w:rFonts w:ascii="Arial" w:hAnsi="Arial" w:cs="Arial"/>
                <w:sz w:val="20"/>
              </w:rPr>
              <w:t xml:space="preserve"> </w:t>
            </w:r>
            <w:r>
              <w:rPr>
                <w:rFonts w:ascii="Arial" w:hAnsi="Arial" w:cs="Arial"/>
                <w:sz w:val="20"/>
              </w:rPr>
              <w:t>d</w:t>
            </w:r>
            <w:r w:rsidR="00323B47">
              <w:rPr>
                <w:rFonts w:ascii="Arial" w:hAnsi="Arial" w:cs="Arial"/>
                <w:sz w:val="20"/>
              </w:rPr>
              <w:t>e 1945</w:t>
            </w:r>
          </w:p>
        </w:tc>
        <w:tc>
          <w:tcPr>
            <w:tcW w:w="2244" w:type="dxa"/>
            <w:tcBorders>
              <w:top w:val="single" w:sz="4" w:space="0" w:color="auto"/>
              <w:left w:val="single" w:sz="4" w:space="0" w:color="auto"/>
              <w:bottom w:val="single" w:sz="4" w:space="0" w:color="auto"/>
              <w:right w:val="single" w:sz="4" w:space="0" w:color="auto"/>
            </w:tcBorders>
            <w:hideMark/>
          </w:tcPr>
          <w:p w:rsidR="00323B47" w:rsidRDefault="00323B47" w:rsidP="00FB0B87">
            <w:pPr>
              <w:spacing w:after="6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323B47" w:rsidRDefault="00323B47" w:rsidP="00FB0B87">
            <w:pPr>
              <w:spacing w:after="60"/>
              <w:rPr>
                <w:rFonts w:ascii="Arial" w:hAnsi="Arial" w:cs="Arial"/>
                <w:sz w:val="20"/>
              </w:rPr>
            </w:pPr>
            <w:r>
              <w:rPr>
                <w:rFonts w:ascii="Arial" w:hAnsi="Arial" w:cs="Arial"/>
                <w:sz w:val="20"/>
              </w:rPr>
              <w:t>26</w:t>
            </w:r>
          </w:p>
        </w:tc>
      </w:tr>
      <w:tr w:rsidR="00323B47" w:rsidTr="00FB0B87">
        <w:tc>
          <w:tcPr>
            <w:tcW w:w="8978" w:type="dxa"/>
            <w:gridSpan w:val="5"/>
            <w:tcBorders>
              <w:top w:val="single" w:sz="4" w:space="0" w:color="auto"/>
              <w:left w:val="single" w:sz="4" w:space="0" w:color="auto"/>
              <w:bottom w:val="single" w:sz="4" w:space="0" w:color="auto"/>
              <w:right w:val="single" w:sz="4" w:space="0" w:color="auto"/>
            </w:tcBorders>
            <w:hideMark/>
          </w:tcPr>
          <w:p w:rsidR="00323B47" w:rsidRDefault="00323B47" w:rsidP="00FB0B87">
            <w:pPr>
              <w:spacing w:after="60"/>
              <w:rPr>
                <w:rFonts w:ascii="Arial" w:hAnsi="Arial" w:cs="Arial"/>
                <w:sz w:val="20"/>
              </w:rPr>
            </w:pPr>
            <w:r>
              <w:rPr>
                <w:rFonts w:ascii="Arial" w:hAnsi="Arial" w:cs="Arial"/>
                <w:b/>
                <w:sz w:val="20"/>
              </w:rPr>
              <w:t xml:space="preserve">Motivo: </w:t>
            </w:r>
            <w:r>
              <w:rPr>
                <w:rFonts w:ascii="Arial" w:hAnsi="Arial" w:cs="Arial"/>
                <w:sz w:val="20"/>
              </w:rPr>
              <w:t>Habeas Corpus</w:t>
            </w:r>
          </w:p>
        </w:tc>
      </w:tr>
      <w:tr w:rsidR="00323B47" w:rsidTr="00FB0B87">
        <w:tc>
          <w:tcPr>
            <w:tcW w:w="8978" w:type="dxa"/>
            <w:gridSpan w:val="5"/>
            <w:tcBorders>
              <w:top w:val="single" w:sz="4" w:space="0" w:color="auto"/>
              <w:left w:val="single" w:sz="4" w:space="0" w:color="auto"/>
              <w:bottom w:val="single" w:sz="4" w:space="0" w:color="auto"/>
              <w:right w:val="single" w:sz="4" w:space="0" w:color="auto"/>
            </w:tcBorders>
            <w:hideMark/>
          </w:tcPr>
          <w:p w:rsidR="00323B47" w:rsidRPr="00E47849" w:rsidRDefault="00323B47" w:rsidP="00FB0B87">
            <w:pPr>
              <w:tabs>
                <w:tab w:val="left" w:pos="2025"/>
              </w:tabs>
              <w:spacing w:after="60"/>
              <w:rPr>
                <w:rFonts w:ascii="Arial" w:hAnsi="Arial" w:cs="Arial"/>
                <w:sz w:val="20"/>
              </w:rPr>
            </w:pPr>
            <w:r>
              <w:rPr>
                <w:rFonts w:ascii="Arial" w:hAnsi="Arial" w:cs="Arial"/>
                <w:b/>
                <w:sz w:val="20"/>
              </w:rPr>
              <w:t>Recurrente</w:t>
            </w:r>
            <w:r w:rsidR="00E47849">
              <w:rPr>
                <w:rFonts w:ascii="Arial" w:hAnsi="Arial" w:cs="Arial"/>
                <w:b/>
                <w:sz w:val="20"/>
              </w:rPr>
              <w:t>s</w:t>
            </w:r>
            <w:r>
              <w:rPr>
                <w:rFonts w:ascii="Arial" w:hAnsi="Arial" w:cs="Arial"/>
                <w:b/>
                <w:sz w:val="20"/>
              </w:rPr>
              <w:t xml:space="preserve">: </w:t>
            </w:r>
            <w:r w:rsidR="00E47849">
              <w:rPr>
                <w:rFonts w:ascii="Arial" w:hAnsi="Arial" w:cs="Arial"/>
                <w:sz w:val="20"/>
              </w:rPr>
              <w:t>Rafael Ángel, Miguel Ángel y Juan Serrano Brenes</w:t>
            </w:r>
          </w:p>
        </w:tc>
      </w:tr>
      <w:tr w:rsidR="00323B47" w:rsidTr="00FB0B87">
        <w:tc>
          <w:tcPr>
            <w:tcW w:w="8978" w:type="dxa"/>
            <w:gridSpan w:val="5"/>
            <w:tcBorders>
              <w:top w:val="single" w:sz="4" w:space="0" w:color="auto"/>
              <w:left w:val="single" w:sz="4" w:space="0" w:color="auto"/>
              <w:bottom w:val="single" w:sz="4" w:space="0" w:color="auto"/>
              <w:right w:val="single" w:sz="4" w:space="0" w:color="auto"/>
            </w:tcBorders>
            <w:hideMark/>
          </w:tcPr>
          <w:p w:rsidR="00323B47" w:rsidRDefault="00323B47" w:rsidP="00FB0B87">
            <w:pPr>
              <w:spacing w:after="60"/>
              <w:rPr>
                <w:rFonts w:ascii="Arial" w:hAnsi="Arial" w:cs="Arial"/>
                <w:sz w:val="20"/>
              </w:rPr>
            </w:pPr>
            <w:r>
              <w:rPr>
                <w:rFonts w:ascii="Arial" w:hAnsi="Arial" w:cs="Arial"/>
                <w:b/>
                <w:sz w:val="20"/>
              </w:rPr>
              <w:t xml:space="preserve">Recurrido: </w:t>
            </w:r>
            <w:r w:rsidR="00E47849">
              <w:rPr>
                <w:rFonts w:ascii="Arial" w:hAnsi="Arial" w:cs="Arial"/>
                <w:sz w:val="20"/>
              </w:rPr>
              <w:t>Alcalde de San Carlos</w:t>
            </w:r>
          </w:p>
        </w:tc>
      </w:tr>
      <w:tr w:rsidR="00323B47" w:rsidTr="00FB0B87">
        <w:tc>
          <w:tcPr>
            <w:tcW w:w="8978" w:type="dxa"/>
            <w:gridSpan w:val="5"/>
            <w:tcBorders>
              <w:top w:val="single" w:sz="4" w:space="0" w:color="auto"/>
              <w:left w:val="single" w:sz="4" w:space="0" w:color="auto"/>
              <w:bottom w:val="single" w:sz="4" w:space="0" w:color="auto"/>
              <w:right w:val="single" w:sz="4" w:space="0" w:color="auto"/>
            </w:tcBorders>
            <w:hideMark/>
          </w:tcPr>
          <w:p w:rsidR="00323B47" w:rsidRDefault="00323B47" w:rsidP="00684A0D">
            <w:pPr>
              <w:spacing w:after="60"/>
              <w:rPr>
                <w:rFonts w:ascii="Arial" w:hAnsi="Arial" w:cs="Arial"/>
                <w:sz w:val="20"/>
              </w:rPr>
            </w:pPr>
            <w:r>
              <w:rPr>
                <w:rFonts w:ascii="Arial" w:hAnsi="Arial" w:cs="Arial"/>
                <w:b/>
                <w:sz w:val="20"/>
              </w:rPr>
              <w:t xml:space="preserve">Objeto del </w:t>
            </w:r>
            <w:r w:rsidR="00FB0B87">
              <w:rPr>
                <w:rFonts w:ascii="Arial" w:hAnsi="Arial" w:cs="Arial"/>
                <w:b/>
                <w:sz w:val="20"/>
              </w:rPr>
              <w:t>r</w:t>
            </w:r>
            <w:r>
              <w:rPr>
                <w:rFonts w:ascii="Arial" w:hAnsi="Arial" w:cs="Arial"/>
                <w:b/>
                <w:sz w:val="20"/>
              </w:rPr>
              <w:t xml:space="preserve">ecurso: </w:t>
            </w:r>
            <w:r w:rsidR="00E47849">
              <w:rPr>
                <w:rFonts w:ascii="Arial" w:hAnsi="Arial" w:cs="Arial"/>
                <w:sz w:val="20"/>
              </w:rPr>
              <w:t>Los</w:t>
            </w:r>
            <w:r>
              <w:rPr>
                <w:rFonts w:ascii="Arial" w:hAnsi="Arial" w:cs="Arial"/>
                <w:sz w:val="20"/>
              </w:rPr>
              <w:t xml:space="preserve"> recurrente</w:t>
            </w:r>
            <w:r w:rsidR="00E47849">
              <w:rPr>
                <w:rFonts w:ascii="Arial" w:hAnsi="Arial" w:cs="Arial"/>
                <w:sz w:val="20"/>
              </w:rPr>
              <w:t>s</w:t>
            </w:r>
            <w:r>
              <w:rPr>
                <w:rFonts w:ascii="Arial" w:hAnsi="Arial" w:cs="Arial"/>
                <w:sz w:val="20"/>
              </w:rPr>
              <w:t xml:space="preserve"> </w:t>
            </w:r>
            <w:r w:rsidR="00684A0D">
              <w:rPr>
                <w:rFonts w:ascii="Arial" w:hAnsi="Arial" w:cs="Arial"/>
                <w:sz w:val="20"/>
              </w:rPr>
              <w:t>objetan su detención.</w:t>
            </w:r>
          </w:p>
        </w:tc>
      </w:tr>
      <w:tr w:rsidR="00323B47" w:rsidTr="00FB0B87">
        <w:tc>
          <w:tcPr>
            <w:tcW w:w="8978" w:type="dxa"/>
            <w:gridSpan w:val="5"/>
            <w:tcBorders>
              <w:top w:val="single" w:sz="4" w:space="0" w:color="auto"/>
              <w:left w:val="single" w:sz="4" w:space="0" w:color="auto"/>
              <w:bottom w:val="single" w:sz="4" w:space="0" w:color="auto"/>
              <w:right w:val="single" w:sz="4" w:space="0" w:color="auto"/>
            </w:tcBorders>
            <w:hideMark/>
          </w:tcPr>
          <w:p w:rsidR="00323B47" w:rsidRDefault="00323B47" w:rsidP="00FB0B87">
            <w:pPr>
              <w:tabs>
                <w:tab w:val="left" w:pos="3369"/>
              </w:tabs>
              <w:spacing w:after="60"/>
              <w:rPr>
                <w:rFonts w:ascii="Arial" w:hAnsi="Arial" w:cs="Arial"/>
                <w:sz w:val="20"/>
              </w:rPr>
            </w:pPr>
            <w:r>
              <w:rPr>
                <w:rFonts w:ascii="Arial" w:hAnsi="Arial" w:cs="Arial"/>
                <w:b/>
                <w:sz w:val="20"/>
              </w:rPr>
              <w:t xml:space="preserve">Respuesta del </w:t>
            </w:r>
            <w:r w:rsidR="00FB0B87">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E47849">
              <w:rPr>
                <w:rFonts w:ascii="Arial" w:hAnsi="Arial" w:cs="Arial"/>
                <w:sz w:val="20"/>
              </w:rPr>
              <w:t>detención de los recurrentes se debe a un auto de arresto provisional que los señala como presuntos responsables del delito de falsificación de moneda.</w:t>
            </w:r>
          </w:p>
        </w:tc>
      </w:tr>
      <w:tr w:rsidR="00323B47" w:rsidTr="00FB0B87">
        <w:tc>
          <w:tcPr>
            <w:tcW w:w="2093" w:type="dxa"/>
            <w:tcBorders>
              <w:top w:val="single" w:sz="4" w:space="0" w:color="auto"/>
              <w:left w:val="single" w:sz="4" w:space="0" w:color="auto"/>
              <w:bottom w:val="single" w:sz="4" w:space="0" w:color="auto"/>
              <w:right w:val="single" w:sz="4" w:space="0" w:color="auto"/>
            </w:tcBorders>
            <w:hideMark/>
          </w:tcPr>
          <w:p w:rsidR="00323B47" w:rsidRDefault="00323B47" w:rsidP="00FB0B87">
            <w:pPr>
              <w:tabs>
                <w:tab w:val="left" w:pos="3369"/>
              </w:tabs>
              <w:spacing w:after="60"/>
              <w:rPr>
                <w:rFonts w:ascii="Arial" w:hAnsi="Arial" w:cs="Arial"/>
                <w:b/>
                <w:sz w:val="20"/>
              </w:rPr>
            </w:pPr>
            <w:r>
              <w:rPr>
                <w:rFonts w:ascii="Arial" w:hAnsi="Arial" w:cs="Arial"/>
                <w:b/>
                <w:sz w:val="20"/>
              </w:rPr>
              <w:t xml:space="preserve">Parte </w:t>
            </w:r>
            <w:r w:rsidR="00FB0B87">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323B47" w:rsidRDefault="0027611F" w:rsidP="00FB0B87">
            <w:pPr>
              <w:tabs>
                <w:tab w:val="left" w:pos="3369"/>
              </w:tabs>
              <w:spacing w:after="60"/>
              <w:rPr>
                <w:rFonts w:ascii="Arial" w:hAnsi="Arial" w:cs="Arial"/>
                <w:sz w:val="20"/>
              </w:rPr>
            </w:pPr>
            <w:r>
              <w:rPr>
                <w:rFonts w:ascii="Arial" w:hAnsi="Arial" w:cs="Arial"/>
                <w:sz w:val="20"/>
              </w:rPr>
              <w:t>Sin lugar</w:t>
            </w:r>
            <w:bookmarkStart w:id="0" w:name="_GoBack"/>
            <w:bookmarkEnd w:id="0"/>
            <w:r w:rsidR="00323B47">
              <w:rPr>
                <w:rFonts w:ascii="Arial" w:hAnsi="Arial" w:cs="Arial"/>
                <w:sz w:val="20"/>
              </w:rPr>
              <w:t xml:space="preserve"> (</w:t>
            </w:r>
            <w:r w:rsidR="00E47849">
              <w:rPr>
                <w:rFonts w:ascii="Arial" w:hAnsi="Arial" w:cs="Arial"/>
                <w:sz w:val="20"/>
              </w:rPr>
              <w:t>la detención de los recurrentes se debe a un auto de arresto provisional dictado con fundamento</w:t>
            </w:r>
            <w:r w:rsidR="00323B47">
              <w:rPr>
                <w:rFonts w:ascii="Arial" w:hAnsi="Arial" w:cs="Arial"/>
                <w:sz w:val="20"/>
              </w:rPr>
              <w:t>).</w:t>
            </w:r>
          </w:p>
        </w:tc>
      </w:tr>
    </w:tbl>
    <w:p w:rsidR="00323B47" w:rsidRDefault="00323B47" w:rsidP="00323B47">
      <w:pPr>
        <w:spacing w:line="360" w:lineRule="auto"/>
        <w:rPr>
          <w:sz w:val="28"/>
        </w:rPr>
      </w:pPr>
    </w:p>
    <w:p w:rsidR="00431B40" w:rsidRDefault="00431B40" w:rsidP="00431B40">
      <w:pPr>
        <w:spacing w:line="360" w:lineRule="auto"/>
        <w:jc w:val="center"/>
        <w:rPr>
          <w:rFonts w:ascii="Times New Roman" w:hAnsi="Times New Roman" w:cs="Times New Roman"/>
          <w:b/>
          <w:sz w:val="28"/>
        </w:rPr>
      </w:pPr>
      <w:r>
        <w:rPr>
          <w:rFonts w:ascii="Times New Roman" w:hAnsi="Times New Roman" w:cs="Times New Roman"/>
          <w:b/>
          <w:sz w:val="28"/>
        </w:rPr>
        <w:t>N° 26</w:t>
      </w:r>
    </w:p>
    <w:p w:rsidR="00431B40" w:rsidRDefault="00431B40" w:rsidP="00FB0B87">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día catorce de mayo de mil novecientos cuarenta y cinco</w:t>
      </w:r>
      <w:r>
        <w:rPr>
          <w:rFonts w:ascii="Times New Roman" w:hAnsi="Times New Roman" w:cs="Times New Roman"/>
          <w:sz w:val="28"/>
        </w:rPr>
        <w:t>, con asistencia de los señores Magistrados Guardia Quirós</w:t>
      </w:r>
      <w:r w:rsidR="00FB0B87">
        <w:rPr>
          <w:rFonts w:ascii="Times New Roman" w:hAnsi="Times New Roman" w:cs="Times New Roman"/>
          <w:sz w:val="28"/>
        </w:rPr>
        <w:t xml:space="preserve"> (</w:t>
      </w:r>
      <w:r>
        <w:rPr>
          <w:rFonts w:ascii="Times New Roman" w:hAnsi="Times New Roman" w:cs="Times New Roman"/>
          <w:sz w:val="28"/>
        </w:rPr>
        <w:t>Presidente</w:t>
      </w:r>
      <w:r w:rsidR="00FB0B87">
        <w:rPr>
          <w:rFonts w:ascii="Times New Roman" w:hAnsi="Times New Roman" w:cs="Times New Roman"/>
          <w:sz w:val="28"/>
        </w:rPr>
        <w:t>),</w:t>
      </w:r>
      <w:r>
        <w:rPr>
          <w:rFonts w:ascii="Times New Roman" w:hAnsi="Times New Roman" w:cs="Times New Roman"/>
          <w:sz w:val="28"/>
        </w:rPr>
        <w:t xml:space="preserve"> Solórzano, Vargas Pacheco, Guzmán, Herrera, Guier, Alfaro, Iglesias, Trejos, Saborío, Sánchez, González y Ramírez.</w:t>
      </w:r>
    </w:p>
    <w:p w:rsidR="00FB0B87" w:rsidRDefault="00FB0B87" w:rsidP="00FB0B87">
      <w:pPr>
        <w:spacing w:after="120" w:line="360" w:lineRule="auto"/>
        <w:jc w:val="both"/>
        <w:rPr>
          <w:rFonts w:ascii="Times New Roman" w:hAnsi="Times New Roman" w:cs="Times New Roman"/>
          <w:sz w:val="28"/>
        </w:rPr>
      </w:pPr>
    </w:p>
    <w:p w:rsidR="00323B47" w:rsidRDefault="00E47849" w:rsidP="00FB0B87">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r w:rsidR="00323B47">
        <w:rPr>
          <w:rFonts w:ascii="Times New Roman" w:hAnsi="Times New Roman" w:cs="Times New Roman"/>
          <w:b/>
          <w:sz w:val="28"/>
          <w:szCs w:val="28"/>
        </w:rPr>
        <w:t>I</w:t>
      </w:r>
    </w:p>
    <w:p w:rsidR="00323B47" w:rsidRDefault="00323B47" w:rsidP="00323B47">
      <w:pPr>
        <w:spacing w:line="360" w:lineRule="auto"/>
        <w:jc w:val="both"/>
      </w:pPr>
      <w:r>
        <w:tab/>
      </w:r>
      <w:r w:rsidR="00E47849">
        <w:rPr>
          <w:rFonts w:ascii="Times New Roman" w:hAnsi="Times New Roman" w:cs="Times New Roman"/>
          <w:sz w:val="28"/>
        </w:rPr>
        <w:t xml:space="preserve">Se declaró improcedente el recurso de </w:t>
      </w:r>
      <w:r w:rsidR="00FB0B87">
        <w:rPr>
          <w:rFonts w:ascii="Times New Roman" w:hAnsi="Times New Roman" w:cs="Times New Roman"/>
          <w:sz w:val="28"/>
        </w:rPr>
        <w:t>Há</w:t>
      </w:r>
      <w:r w:rsidR="00E47849">
        <w:rPr>
          <w:rFonts w:ascii="Times New Roman" w:hAnsi="Times New Roman" w:cs="Times New Roman"/>
          <w:sz w:val="28"/>
        </w:rPr>
        <w:t xml:space="preserve">beas </w:t>
      </w:r>
      <w:r w:rsidR="00FB0B87">
        <w:rPr>
          <w:rFonts w:ascii="Times New Roman" w:hAnsi="Times New Roman" w:cs="Times New Roman"/>
          <w:sz w:val="28"/>
        </w:rPr>
        <w:t>C</w:t>
      </w:r>
      <w:r w:rsidR="00E47849">
        <w:rPr>
          <w:rFonts w:ascii="Times New Roman" w:hAnsi="Times New Roman" w:cs="Times New Roman"/>
          <w:sz w:val="28"/>
        </w:rPr>
        <w:t xml:space="preserve">orpus establecido por </w:t>
      </w:r>
      <w:r w:rsidR="00E47849" w:rsidRPr="00E47849">
        <w:rPr>
          <w:rFonts w:ascii="Times New Roman" w:hAnsi="Times New Roman" w:cs="Times New Roman"/>
          <w:b/>
          <w:sz w:val="28"/>
        </w:rPr>
        <w:t>RAFAEL ÁNGEL</w:t>
      </w:r>
      <w:r w:rsidR="00E47849">
        <w:rPr>
          <w:rFonts w:ascii="Times New Roman" w:hAnsi="Times New Roman" w:cs="Times New Roman"/>
          <w:sz w:val="28"/>
        </w:rPr>
        <w:t xml:space="preserve">, </w:t>
      </w:r>
      <w:r w:rsidR="00E47849" w:rsidRPr="00E47849">
        <w:rPr>
          <w:rFonts w:ascii="Times New Roman" w:hAnsi="Times New Roman" w:cs="Times New Roman"/>
          <w:b/>
          <w:sz w:val="28"/>
        </w:rPr>
        <w:t>MIGUEL ÁNGEL</w:t>
      </w:r>
      <w:r w:rsidR="00E47849">
        <w:rPr>
          <w:rFonts w:ascii="Times New Roman" w:hAnsi="Times New Roman" w:cs="Times New Roman"/>
          <w:sz w:val="28"/>
        </w:rPr>
        <w:t xml:space="preserve"> y </w:t>
      </w:r>
      <w:r w:rsidR="00E47849" w:rsidRPr="00E47849">
        <w:rPr>
          <w:rFonts w:ascii="Times New Roman" w:hAnsi="Times New Roman" w:cs="Times New Roman"/>
          <w:b/>
          <w:sz w:val="28"/>
        </w:rPr>
        <w:t>JUAN SERRANO BRENES</w:t>
      </w:r>
      <w:r w:rsidR="00E47849">
        <w:rPr>
          <w:rFonts w:ascii="Times New Roman" w:hAnsi="Times New Roman" w:cs="Times New Roman"/>
          <w:sz w:val="28"/>
        </w:rPr>
        <w:t>, por haberse comprobado con el informe del Alcalde de San Carlos y con la respectiva sumaria, que la detención de los recurrentes se origina en un auto de arresto provisional fundado en datos probatorios que los señalan como presuntos responsables del delito de falsificación de moneda.</w:t>
      </w:r>
    </w:p>
    <w:p w:rsidR="00FB0B87" w:rsidRDefault="00FB0B87"/>
    <w:sectPr w:rsidR="00FB0B87" w:rsidSect="004D22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323B47"/>
    <w:rsid w:val="0027611F"/>
    <w:rsid w:val="00323B47"/>
    <w:rsid w:val="00411BF0"/>
    <w:rsid w:val="00431B40"/>
    <w:rsid w:val="004D221F"/>
    <w:rsid w:val="006633EB"/>
    <w:rsid w:val="00684A0D"/>
    <w:rsid w:val="00C623B5"/>
    <w:rsid w:val="00E47849"/>
    <w:rsid w:val="00FB0B8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4</cp:revision>
  <dcterms:created xsi:type="dcterms:W3CDTF">2016-11-23T16:00:00Z</dcterms:created>
  <dcterms:modified xsi:type="dcterms:W3CDTF">2016-12-19T19:37:00Z</dcterms:modified>
</cp:coreProperties>
</file>