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FF" w:rsidRDefault="00185FFF" w:rsidP="00185FFF">
      <w:pPr>
        <w:jc w:val="center"/>
      </w:pPr>
      <w:r w:rsidRPr="005461BF">
        <w:rPr>
          <w:b/>
        </w:rPr>
        <w:t xml:space="preserve">N° </w:t>
      </w:r>
      <w:r>
        <w:rPr>
          <w:b/>
        </w:rPr>
        <w:t>4</w:t>
      </w:r>
    </w:p>
    <w:p w:rsidR="00185FFF" w:rsidRDefault="00185FFF" w:rsidP="00185FFF">
      <w:pPr>
        <w:ind w:firstLine="708"/>
        <w:jc w:val="both"/>
      </w:pPr>
      <w:r>
        <w:t>Sesión de Corte Interina celebrada a las catorce horas del día catorce de febrero de mil novecientos cuarenta y nueve, con asistencia de los Magistrados Guardia, Presidente; Elizondo, y Gólcher.</w:t>
      </w:r>
    </w:p>
    <w:p w:rsidR="00185FFF" w:rsidRDefault="00185FFF" w:rsidP="00185FFF">
      <w:pPr>
        <w:jc w:val="center"/>
        <w:rPr>
          <w:b/>
        </w:rPr>
      </w:pPr>
      <w:r>
        <w:rPr>
          <w:b/>
        </w:rPr>
        <w:t>Artículo IV</w:t>
      </w:r>
    </w:p>
    <w:p w:rsidR="00185FFF" w:rsidRDefault="00185FFF" w:rsidP="00185FFF">
      <w:pPr>
        <w:ind w:firstLine="708"/>
        <w:jc w:val="both"/>
      </w:pPr>
      <w:r>
        <w:t xml:space="preserve">Fueron declarados sin lugar los recursos de hábeas corpus formulados a su favor por Carlos Pereira </w:t>
      </w:r>
      <w:proofErr w:type="spellStart"/>
      <w:r>
        <w:t>Ampié</w:t>
      </w:r>
      <w:proofErr w:type="spellEnd"/>
      <w:r>
        <w:t xml:space="preserve">; por Matea Pérez a favor de Alejandro Pérez </w:t>
      </w:r>
      <w:proofErr w:type="spellStart"/>
      <w:r>
        <w:t>Sanarrusia</w:t>
      </w:r>
      <w:proofErr w:type="spellEnd"/>
      <w:r>
        <w:t xml:space="preserve">, y a su favor por Luis Díaz Calderón, por haber informado, por su orden, el </w:t>
      </w:r>
      <w:r w:rsidR="00154F0A">
        <w:t xml:space="preserve">Tribunal de Sanciones Inmediatas, el Alcalde de Liberia, y el Jefe Político de Desamparados, que la detención de aquellas personas obedece a los autos de detención preventiva, y a la sentencia condenatoria, dictados en las sumarias que se siguen por los delitos de violación y robo en perjuicio de </w:t>
      </w:r>
      <w:proofErr w:type="spellStart"/>
      <w:r w:rsidR="00154F0A">
        <w:t>Zulay</w:t>
      </w:r>
      <w:proofErr w:type="spellEnd"/>
      <w:r w:rsidR="00154F0A">
        <w:t xml:space="preserve"> Gutiérrez y otras , de homicidio en daño de Jaime Gutiérrez Braun y otros, y en las diligencias seguidas por la falta de merodeo en perjuicio de </w:t>
      </w:r>
      <w:proofErr w:type="spellStart"/>
      <w:r w:rsidR="00154F0A">
        <w:t>Liduvina</w:t>
      </w:r>
      <w:proofErr w:type="spellEnd"/>
      <w:r w:rsidR="00154F0A">
        <w:t xml:space="preserve"> Jiménez Castro</w:t>
      </w:r>
      <w:r w:rsidR="00A47CCB">
        <w:t>, respectivamente</w:t>
      </w:r>
      <w:r>
        <w:t>.</w:t>
      </w:r>
    </w:p>
    <w:sectPr w:rsidR="00185FF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85FFF"/>
    <w:rsid w:val="00033CB9"/>
    <w:rsid w:val="00050F04"/>
    <w:rsid w:val="00154F0A"/>
    <w:rsid w:val="00185FFF"/>
    <w:rsid w:val="00237EC1"/>
    <w:rsid w:val="009224B0"/>
    <w:rsid w:val="00956078"/>
    <w:rsid w:val="00A47CCB"/>
    <w:rsid w:val="00CB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2016-11-16T19:46:00Z</dcterms:created>
  <dcterms:modified xsi:type="dcterms:W3CDTF">2016-11-16T20:30:00Z</dcterms:modified>
</cp:coreProperties>
</file>