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B" w:rsidRDefault="00140E5B" w:rsidP="00140E5B">
      <w:pPr>
        <w:jc w:val="center"/>
      </w:pPr>
      <w:r w:rsidRPr="005461BF">
        <w:rPr>
          <w:b/>
        </w:rPr>
        <w:t xml:space="preserve">N° </w:t>
      </w:r>
      <w:r>
        <w:rPr>
          <w:b/>
        </w:rPr>
        <w:t>5</w:t>
      </w:r>
    </w:p>
    <w:p w:rsidR="00140E5B" w:rsidRDefault="00140E5B" w:rsidP="00140E5B">
      <w:pPr>
        <w:ind w:firstLine="708"/>
        <w:jc w:val="both"/>
      </w:pPr>
      <w:r>
        <w:t>Sesión de Corte Interina celebrada a las catorce horas del día veintiuno de febrero de mil novecientos cuarenta y nueve, con asistencia de los Magistrados Guardia, Presidente; Elizondo, y Gólcher.</w:t>
      </w:r>
    </w:p>
    <w:p w:rsidR="00140E5B" w:rsidRDefault="00140E5B" w:rsidP="00140E5B">
      <w:pPr>
        <w:jc w:val="center"/>
        <w:rPr>
          <w:b/>
        </w:rPr>
      </w:pPr>
      <w:r>
        <w:rPr>
          <w:b/>
        </w:rPr>
        <w:t>Artículo II</w:t>
      </w:r>
    </w:p>
    <w:p w:rsidR="00140E5B" w:rsidRDefault="00140E5B" w:rsidP="00140E5B">
      <w:pPr>
        <w:ind w:firstLine="708"/>
        <w:jc w:val="both"/>
      </w:pPr>
      <w:r>
        <w:t>Por haber informado el Auditor General de Seguridad Pública, y el Juez Instructor Militar, que las personas que se encontraban recluidas fueron puestas ya en libertad, se dispuso archivar los recursos de hábeas corpus interpuestos a su favor, por Salomón Hernández Arias; por Edgar Hernández Cartín a favor de Alberto Cartín Paniagua; y a su favor por Mario Varela Rodríguez y Edgar Solís Siles.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40E5B"/>
    <w:rsid w:val="00033CB9"/>
    <w:rsid w:val="00050F04"/>
    <w:rsid w:val="00140E5B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2016-11-16T20:29:00Z</dcterms:created>
  <dcterms:modified xsi:type="dcterms:W3CDTF">2016-11-16T20:30:00Z</dcterms:modified>
</cp:coreProperties>
</file>