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3A" w:rsidRDefault="004E6D3A" w:rsidP="004E6D3A">
      <w:pPr>
        <w:jc w:val="center"/>
      </w:pPr>
      <w:r w:rsidRPr="005461BF">
        <w:rPr>
          <w:b/>
        </w:rPr>
        <w:t xml:space="preserve">N° </w:t>
      </w:r>
      <w:r>
        <w:rPr>
          <w:b/>
        </w:rPr>
        <w:t>7</w:t>
      </w:r>
    </w:p>
    <w:p w:rsidR="004E6D3A" w:rsidRDefault="004E6D3A" w:rsidP="004E6D3A">
      <w:pPr>
        <w:ind w:firstLine="708"/>
        <w:jc w:val="both"/>
      </w:pPr>
      <w:r>
        <w:t>Sesión de Corte Interina celebrada a las catorce horas del día veinticinco de febrero de mil novecientos cuarenta y nueve, con asistencia de los Magistrados Guardia, Presidente; Elizondo, y Gólcher.</w:t>
      </w:r>
    </w:p>
    <w:p w:rsidR="004E6D3A" w:rsidRDefault="004E6D3A" w:rsidP="004E6D3A">
      <w:pPr>
        <w:jc w:val="center"/>
        <w:rPr>
          <w:b/>
        </w:rPr>
      </w:pPr>
      <w:r>
        <w:rPr>
          <w:b/>
        </w:rPr>
        <w:t>Artículo II</w:t>
      </w:r>
    </w:p>
    <w:p w:rsidR="004E6D3A" w:rsidRDefault="004E6D3A" w:rsidP="004E6D3A">
      <w:pPr>
        <w:ind w:firstLine="708"/>
        <w:jc w:val="both"/>
      </w:pPr>
      <w:r>
        <w:t xml:space="preserve">Por haber informado el Alcalde Tercero Penal, que el recurrente se halla en libertad, se dispuso archivar el recurso de hábeas corpus interpuesto por Leonardo </w:t>
      </w:r>
      <w:proofErr w:type="spellStart"/>
      <w:r>
        <w:t>Cajina</w:t>
      </w:r>
      <w:proofErr w:type="spellEnd"/>
      <w:r>
        <w:t xml:space="preserve"> Espinoza.</w:t>
      </w:r>
    </w:p>
    <w:sectPr w:rsidR="004E6D3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E6D3A"/>
    <w:rsid w:val="00033CB9"/>
    <w:rsid w:val="000476E9"/>
    <w:rsid w:val="004E6D3A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2016-11-18T14:20:00Z</dcterms:created>
  <dcterms:modified xsi:type="dcterms:W3CDTF">2016-11-18T14:28:00Z</dcterms:modified>
</cp:coreProperties>
</file>