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E46" w:rsidRDefault="00DE4E46" w:rsidP="00DE4E46">
      <w:pPr>
        <w:jc w:val="center"/>
      </w:pPr>
      <w:r w:rsidRPr="005461BF">
        <w:rPr>
          <w:b/>
        </w:rPr>
        <w:t xml:space="preserve">N° </w:t>
      </w:r>
      <w:r>
        <w:rPr>
          <w:b/>
        </w:rPr>
        <w:t>12</w:t>
      </w:r>
    </w:p>
    <w:p w:rsidR="00DE4E46" w:rsidRDefault="00DE4E46" w:rsidP="00DE4E46">
      <w:pPr>
        <w:ind w:firstLine="708"/>
        <w:jc w:val="both"/>
      </w:pPr>
      <w:r>
        <w:t>Sesión ordinaria de Corte Plena celebrada a las catorce horas del día siete de marzo de mil novecientos cuarenta y nueve, con asistencia inicial de los Magistrados Guzmán, Presidente; Guardia, Quirós, Ramírez, Sanabria, Iglesias, Aguilar, Valle, Sánchez, Fernández, Gólcher y el Suplente Loría.</w:t>
      </w:r>
    </w:p>
    <w:p w:rsidR="00DE4E46" w:rsidRDefault="00DE4E46" w:rsidP="00DE4E46">
      <w:pPr>
        <w:jc w:val="center"/>
        <w:rPr>
          <w:b/>
        </w:rPr>
      </w:pPr>
      <w:r>
        <w:rPr>
          <w:b/>
        </w:rPr>
        <w:t>Artículo IV</w:t>
      </w:r>
    </w:p>
    <w:p w:rsidR="00DE4E46" w:rsidRDefault="00DE4E46" w:rsidP="00DE4E46">
      <w:pPr>
        <w:ind w:firstLine="708"/>
        <w:jc w:val="both"/>
      </w:pPr>
      <w:r>
        <w:t>Entra el Magistrado Ávila.</w:t>
      </w:r>
    </w:p>
    <w:p w:rsidR="00DE4E46" w:rsidRDefault="00DE4E46" w:rsidP="00DE4E46">
      <w:pPr>
        <w:ind w:firstLine="708"/>
        <w:jc w:val="both"/>
      </w:pPr>
      <w:r>
        <w:t xml:space="preserve">Fueron declarados sin lugar los recursos de hábeas corpus presentados </w:t>
      </w:r>
      <w:r w:rsidR="007748F4">
        <w:t xml:space="preserve">a su favor por </w:t>
      </w:r>
      <w:proofErr w:type="spellStart"/>
      <w:r w:rsidR="007748F4">
        <w:t>Cornelia</w:t>
      </w:r>
      <w:proofErr w:type="spellEnd"/>
      <w:r w:rsidR="007748F4">
        <w:t xml:space="preserve"> Gutiérrez López y por </w:t>
      </w:r>
      <w:proofErr w:type="spellStart"/>
      <w:r w:rsidR="007748F4">
        <w:t>Elieres</w:t>
      </w:r>
      <w:proofErr w:type="spellEnd"/>
      <w:r w:rsidR="007748F4">
        <w:t xml:space="preserve"> Valverde Durán, por haber informado los Alcaldes Primero de Puntarenas y de Desamparados, respectivamente, que la reclusión de las referidas personas obedece a los autos de detención preventiva</w:t>
      </w:r>
      <w:r w:rsidR="00DF7345">
        <w:t>, dictados con base en indicios comprobados, en las sumarias que se siguen por los delitos de tenencia de implementos para la elaboración de licor clandestino y de hurto en perjuicio de Rogelio Madrigal Romero</w:t>
      </w:r>
      <w:r>
        <w:t>.</w:t>
      </w:r>
    </w:p>
    <w:sectPr w:rsidR="00DE4E46" w:rsidSect="0095607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30"/>
  <w:proofState w:spelling="clean" w:grammar="clean"/>
  <w:defaultTabStop w:val="708"/>
  <w:hyphenationZone w:val="425"/>
  <w:characterSpacingControl w:val="doNotCompress"/>
  <w:compat/>
  <w:rsids>
    <w:rsidRoot w:val="00DE4E46"/>
    <w:rsid w:val="00033CB9"/>
    <w:rsid w:val="0012038B"/>
    <w:rsid w:val="007748F4"/>
    <w:rsid w:val="00956078"/>
    <w:rsid w:val="00DE4E46"/>
    <w:rsid w:val="00DF73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E4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133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amexzon</dc:creator>
  <cp:lastModifiedBy>amexzon</cp:lastModifiedBy>
  <cp:revision>1</cp:revision>
  <dcterms:created xsi:type="dcterms:W3CDTF">2016-11-18T16:34:00Z</dcterms:created>
  <dcterms:modified xsi:type="dcterms:W3CDTF">2016-11-18T16:58:00Z</dcterms:modified>
</cp:coreProperties>
</file>