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6" w:rsidRDefault="00ED3A66" w:rsidP="00ED3A66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12</w:t>
      </w:r>
    </w:p>
    <w:p w:rsidR="00ED3A66" w:rsidRDefault="00ED3A66" w:rsidP="00ED3A66">
      <w:pPr>
        <w:ind w:firstLine="708"/>
        <w:jc w:val="both"/>
      </w:pPr>
      <w:r>
        <w:t>Sesión ordinaria de Corte Plena celebrada a las catorce horas del día siete de marzo de mil novecientos cuarenta y nueve, con asistencia inicial de los Magistrados Guzmán, Presidente; Guardia, Quirós, Ramírez, Sanabria, Iglesias, Aguilar, Valle, Sánchez, Fernández, Gólcher y el Suplente Loría.</w:t>
      </w:r>
    </w:p>
    <w:p w:rsidR="00ED3A66" w:rsidRDefault="00ED3A66" w:rsidP="00ED3A66">
      <w:pPr>
        <w:jc w:val="center"/>
        <w:rPr>
          <w:b/>
        </w:rPr>
      </w:pPr>
      <w:r>
        <w:rPr>
          <w:b/>
        </w:rPr>
        <w:t>Artículo V</w:t>
      </w:r>
    </w:p>
    <w:p w:rsidR="00ED3A66" w:rsidRDefault="00ED3A66" w:rsidP="00ED3A66">
      <w:pPr>
        <w:ind w:firstLine="708"/>
        <w:jc w:val="both"/>
      </w:pPr>
      <w:r>
        <w:t xml:space="preserve">Finalmente se declaró sin lugar el recurso de hábeas corpus formulado a su favor por José Santamaría, Fausto Díaz </w:t>
      </w:r>
      <w:proofErr w:type="spellStart"/>
      <w:r>
        <w:t>Díaz</w:t>
      </w:r>
      <w:proofErr w:type="spellEnd"/>
      <w:r>
        <w:t>, Oscar Carvajal Brenes y Julio Miranda Robleto, por haber informado los Agentes Principales de Policía de Menores y Judicial, que la reclusión de los recurrentes se basa en el auto de detención preventiva, dictado en las diligencias que se siguen por la falta de vagancia.</w:t>
      </w:r>
    </w:p>
    <w:sectPr w:rsidR="00ED3A6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D3A66"/>
    <w:rsid w:val="00033CB9"/>
    <w:rsid w:val="0012038B"/>
    <w:rsid w:val="00956078"/>
    <w:rsid w:val="00E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2016-11-18T16:58:00Z</dcterms:created>
  <dcterms:modified xsi:type="dcterms:W3CDTF">2016-11-18T17:06:00Z</dcterms:modified>
</cp:coreProperties>
</file>