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10" w:rsidRDefault="00616910" w:rsidP="0061691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616910" w:rsidRDefault="00616910" w:rsidP="00616910">
      <w:pPr>
        <w:ind w:firstLine="708"/>
        <w:jc w:val="both"/>
      </w:pPr>
      <w:r>
        <w:t>Sesión ordinaria de Corte Plena celebrada a las catorce horas del día dieciocho de abril de mil novecientos cuarenta y nueve, con asistencia de los Magistrados Guzmán, Presidente; Guardia, Elizondo, Quirós, Ramírez, Sanabria, Aguilar, Ávila, Valle, Castillo, Sánchez, Ruiz, Acosta, Fernández y Gólcher.</w:t>
      </w:r>
    </w:p>
    <w:p w:rsidR="00616910" w:rsidRDefault="00616910" w:rsidP="00616910">
      <w:pPr>
        <w:jc w:val="center"/>
        <w:rPr>
          <w:b/>
        </w:rPr>
      </w:pPr>
      <w:r>
        <w:rPr>
          <w:b/>
        </w:rPr>
        <w:t>Artículo III</w:t>
      </w:r>
    </w:p>
    <w:p w:rsidR="00616910" w:rsidRDefault="00616910" w:rsidP="00616910">
      <w:pPr>
        <w:ind w:firstLine="708"/>
        <w:jc w:val="both"/>
      </w:pPr>
      <w:r>
        <w:t xml:space="preserve">Se declaró con lugar el recurso de hábeas corpus presentado a su favor por Marco Tulio Rodríguez Alfaro y Soledad Bolaños, </w:t>
      </w:r>
      <w:r w:rsidR="00EA28BB">
        <w:t>por haber transcurrido más de veinticuatro horas de su detención, sin que autoridad competente haya dictado auto de reclusión preventiva o sentencia condenatoria; y al propio tiempo se ordenó la inmediata libertad de aquellas personas</w:t>
      </w:r>
      <w:r>
        <w:t>.</w:t>
      </w:r>
    </w:p>
    <w:sectPr w:rsidR="0061691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616910"/>
    <w:rsid w:val="00033CB9"/>
    <w:rsid w:val="00616910"/>
    <w:rsid w:val="00956078"/>
    <w:rsid w:val="00EA28BB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2016-11-21T17:42:00Z</dcterms:created>
  <dcterms:modified xsi:type="dcterms:W3CDTF">2016-11-21T19:02:00Z</dcterms:modified>
</cp:coreProperties>
</file>