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28" w:rsidRDefault="00B00528" w:rsidP="00B00528">
      <w:pPr>
        <w:jc w:val="center"/>
      </w:pPr>
      <w:r w:rsidRPr="005461BF">
        <w:rPr>
          <w:b/>
        </w:rPr>
        <w:t xml:space="preserve">N° </w:t>
      </w:r>
      <w:r>
        <w:rPr>
          <w:b/>
        </w:rPr>
        <w:t>28</w:t>
      </w:r>
    </w:p>
    <w:p w:rsidR="00B00528" w:rsidRDefault="00B00528" w:rsidP="00B00528">
      <w:pPr>
        <w:ind w:firstLine="708"/>
        <w:jc w:val="both"/>
      </w:pPr>
      <w:r>
        <w:t>Sesión ordinaria de Corte Plena celebrada a las catorce horas del día dieciséis de mayo de mil novecientos cuarenta y nueve, con asistencia inicial de los Magistrados Guzmán, Presidente; Guardia, Elizondo, Quirós, Ramírez, Sanabria, Iglesias, Aguilar, Monge, Valle, Castillo, Sánchez, Acosta y Fernández.</w:t>
      </w:r>
    </w:p>
    <w:p w:rsidR="00B00528" w:rsidRDefault="00B00528" w:rsidP="00B00528">
      <w:pPr>
        <w:jc w:val="center"/>
        <w:rPr>
          <w:b/>
        </w:rPr>
      </w:pPr>
      <w:r>
        <w:rPr>
          <w:b/>
        </w:rPr>
        <w:t>Artículo II</w:t>
      </w:r>
    </w:p>
    <w:p w:rsidR="00B00528" w:rsidRDefault="00B00528" w:rsidP="00B00528">
      <w:pPr>
        <w:ind w:firstLine="708"/>
        <w:jc w:val="both"/>
      </w:pPr>
      <w:r>
        <w:t xml:space="preserve">Por haber informado las respectivas autoridades a quienes se solicitó el informe de ley, que las personas que estaban detenidas fueron detenidas en libertad, se dispuso archivar los siguientes recursos de hábeas corpus: el de José Antonio Jiménez Vega; el de Mario Segundo Carmona; el de Elías Jiménez Guerrero a favor de Serafín Miranda </w:t>
      </w:r>
      <w:proofErr w:type="spellStart"/>
      <w:r>
        <w:t>Miranda</w:t>
      </w:r>
      <w:proofErr w:type="spellEnd"/>
      <w:r>
        <w:t xml:space="preserve"> y José Manuel Durán Santamaría; el de Jorge </w:t>
      </w:r>
      <w:proofErr w:type="spellStart"/>
      <w:r>
        <w:t>Ayub</w:t>
      </w:r>
      <w:proofErr w:type="spellEnd"/>
      <w:r>
        <w:t xml:space="preserve"> </w:t>
      </w:r>
      <w:proofErr w:type="spellStart"/>
      <w:r>
        <w:t>Dau</w:t>
      </w:r>
      <w:proofErr w:type="spellEnd"/>
      <w:r>
        <w:t xml:space="preserve"> a favor de Alfonso </w:t>
      </w:r>
      <w:proofErr w:type="spellStart"/>
      <w:r>
        <w:t>Ayub</w:t>
      </w:r>
      <w:proofErr w:type="spellEnd"/>
      <w:r>
        <w:t xml:space="preserve"> </w:t>
      </w:r>
      <w:proofErr w:type="spellStart"/>
      <w:r>
        <w:t>Hosre</w:t>
      </w:r>
      <w:proofErr w:type="spellEnd"/>
      <w:r>
        <w:t>; el de José Joaquín Vargas Montoya, y el del Licenciado Ramón Zelaya Villegas a favor de Rogelio Salas.</w:t>
      </w:r>
    </w:p>
    <w:sectPr w:rsidR="00B0052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B00528"/>
    <w:rsid w:val="00033CB9"/>
    <w:rsid w:val="00956078"/>
    <w:rsid w:val="00B00528"/>
    <w:rsid w:val="00B6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5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725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2016-11-22T14:14:00Z</dcterms:created>
  <dcterms:modified xsi:type="dcterms:W3CDTF">2016-11-22T14:23:00Z</dcterms:modified>
</cp:coreProperties>
</file>