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0" w:rsidRDefault="00DA1620" w:rsidP="00DA162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22</w:t>
      </w:r>
    </w:p>
    <w:p w:rsidR="00DA1620" w:rsidRDefault="00DA1620" w:rsidP="00DA1620">
      <w:pPr>
        <w:ind w:firstLine="708"/>
        <w:jc w:val="both"/>
      </w:pPr>
      <w:r>
        <w:t>Sesión ordinaria de Corte Plena celebrada a las catorce horas del día ocho de mayo de mil novecientos cincuenta, con asistencia inicial de los Magistrados Guardia, Presidente; Quirós, Ramírez, Iglesias, Ávila, Sánchez, Fernández Hernández, Valle, Castillo, Trejos, Acosta, Fernández Porras y Gólcher.</w:t>
      </w:r>
    </w:p>
    <w:p w:rsidR="00DA1620" w:rsidRDefault="00DA1620" w:rsidP="00DA1620">
      <w:pPr>
        <w:jc w:val="center"/>
        <w:rPr>
          <w:b/>
        </w:rPr>
      </w:pPr>
      <w:r>
        <w:rPr>
          <w:b/>
        </w:rPr>
        <w:t>Artículo V</w:t>
      </w:r>
    </w:p>
    <w:p w:rsidR="00DA1620" w:rsidRDefault="00DA1620" w:rsidP="00DA1620">
      <w:pPr>
        <w:ind w:firstLine="708"/>
        <w:jc w:val="both"/>
      </w:pPr>
      <w:r>
        <w:t>También fueron declarados sin lugar los recursos de hábeas corpus interpuestos a su favor por Enrique Sánchez Chinchilla y Odilio Chaves Aguilar, por haber informado el Jefe Político de Desamparados y el Agente Principal de Policía de Menores, que la reclusión de los recurrentes tiene origen en las sentencias firmes dictadas en las diligencias que se siguen por las faltas de merodeo y de hurto, respectivamente.</w:t>
      </w:r>
    </w:p>
    <w:sectPr w:rsidR="00DA162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A1620"/>
    <w:rsid w:val="00033CB9"/>
    <w:rsid w:val="00956078"/>
    <w:rsid w:val="00DA1620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2016-12-02T17:13:00Z</dcterms:created>
  <dcterms:modified xsi:type="dcterms:W3CDTF">2016-12-02T17:22:00Z</dcterms:modified>
</cp:coreProperties>
</file>