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7" w:rsidRDefault="001F1EA7" w:rsidP="001F1EA7">
      <w:pPr>
        <w:jc w:val="center"/>
      </w:pPr>
      <w:r w:rsidRPr="005461BF">
        <w:rPr>
          <w:b/>
        </w:rPr>
        <w:t xml:space="preserve">N° </w:t>
      </w:r>
      <w:r>
        <w:rPr>
          <w:b/>
        </w:rPr>
        <w:t>4</w:t>
      </w:r>
    </w:p>
    <w:p w:rsidR="001F1EA7" w:rsidRDefault="001F1EA7" w:rsidP="001F1EA7">
      <w:pPr>
        <w:ind w:firstLine="708"/>
        <w:jc w:val="both"/>
      </w:pPr>
      <w:r>
        <w:t>Sesión ordinaria de Corte Plena celebrada a las catorce horas del día dieciséis de enero de mil novecientos cincuenta, con asistencia inicial de los Magistrados Guardia, Presidente; Elizondo, Quirós, Ruiz, Ramírez, Iglesias, Ávila, Sánchez, Monge, Fernández Hernández, Valle, Castillo, Trejos, Fernández Porras y Gólcher.</w:t>
      </w:r>
    </w:p>
    <w:p w:rsidR="001F1EA7" w:rsidRDefault="001F1EA7" w:rsidP="001F1EA7">
      <w:pPr>
        <w:jc w:val="center"/>
        <w:rPr>
          <w:b/>
        </w:rPr>
      </w:pPr>
      <w:r>
        <w:rPr>
          <w:b/>
        </w:rPr>
        <w:t>Artículo V</w:t>
      </w:r>
    </w:p>
    <w:p w:rsidR="001F1EA7" w:rsidRDefault="001F1EA7" w:rsidP="001F1EA7">
      <w:pPr>
        <w:ind w:firstLine="708"/>
        <w:jc w:val="both"/>
      </w:pPr>
      <w:r>
        <w:t xml:space="preserve">Fueron declarados sin lugar los recursos de hábeas corpus interpuestos por Anita Acuña Vásquez, a favor de Juan José Guerrero Acuña; por Manuel Ángel Mondragón López, Mario </w:t>
      </w:r>
      <w:proofErr w:type="spellStart"/>
      <w:r>
        <w:t>Cavallini</w:t>
      </w:r>
      <w:proofErr w:type="spellEnd"/>
      <w:r>
        <w:t xml:space="preserve"> Guevara y Carlos Luis Mora </w:t>
      </w:r>
      <w:proofErr w:type="spellStart"/>
      <w:r>
        <w:t>Mora</w:t>
      </w:r>
      <w:proofErr w:type="spellEnd"/>
      <w:r>
        <w:t xml:space="preserve">, por constar de las sumarias correspondientes y de los informes rendidos por el Juez Primero Penal, el Alcalde Segundo Penal y el Alcalde Tercero Penal, por su orden, que la privación de libertad de aquellos obedece a autos de detención provisional dictados, en cuanto al primero, en el proceso que se sigue por el delito de robo en perjuicio de Manuel Rivera Aguilar; respecto del segundo, en la sumaria que se instruye por el delito de atentado a la autoridad en daño del guardia civil José Rafael Vargas </w:t>
      </w:r>
      <w:proofErr w:type="spellStart"/>
      <w:r>
        <w:t>Vargas</w:t>
      </w:r>
      <w:proofErr w:type="spellEnd"/>
      <w:r>
        <w:t>; tocante al tercero, en la sumaria</w:t>
      </w:r>
      <w:r w:rsidR="000656A0">
        <w:t xml:space="preserve"> que se sigue por el delito de hurto en perjuicio de Antonio Rojas Valverde, y en cuanto al cuarto, en la sumaria que se instruye por tentativa de robo en daño del consultorio del Dr. Rivera.</w:t>
      </w:r>
    </w:p>
    <w:sectPr w:rsidR="001F1EA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F1EA7"/>
    <w:rsid w:val="00033CB9"/>
    <w:rsid w:val="000656A0"/>
    <w:rsid w:val="001F1EA7"/>
    <w:rsid w:val="00956078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2016-11-23T16:24:00Z</dcterms:created>
  <dcterms:modified xsi:type="dcterms:W3CDTF">2016-11-23T16:37:00Z</dcterms:modified>
</cp:coreProperties>
</file>