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7D" w:rsidRDefault="003F007D" w:rsidP="003F007D">
      <w:pPr>
        <w:jc w:val="center"/>
      </w:pPr>
      <w:r w:rsidRPr="005461BF">
        <w:rPr>
          <w:b/>
        </w:rPr>
        <w:t xml:space="preserve">N° </w:t>
      </w:r>
      <w:r>
        <w:rPr>
          <w:b/>
        </w:rPr>
        <w:t>8</w:t>
      </w:r>
    </w:p>
    <w:p w:rsidR="003F007D" w:rsidRDefault="003F007D" w:rsidP="003F007D">
      <w:pPr>
        <w:ind w:firstLine="708"/>
        <w:jc w:val="both"/>
      </w:pPr>
      <w:r>
        <w:t>Sesión ordinaria de Corte Plena celebrada a las catorce horas del treinta de enero de mil novecientos cincuenta, con asistencia inicial de los Magistrados Guardia, Presidente; Elizondo, Quirós, Ruiz, Ramírez, Iglesias, Aguilar, Ávila, Sánchez, Fernández Hernández, Valle, Castillo, Trejos, Acosta, Fernández Porras y Gólcher.</w:t>
      </w:r>
    </w:p>
    <w:p w:rsidR="003F007D" w:rsidRDefault="003F007D" w:rsidP="003F007D">
      <w:pPr>
        <w:jc w:val="center"/>
        <w:rPr>
          <w:b/>
        </w:rPr>
      </w:pPr>
      <w:r>
        <w:rPr>
          <w:b/>
        </w:rPr>
        <w:t>Artículo II</w:t>
      </w:r>
    </w:p>
    <w:p w:rsidR="003F007D" w:rsidRDefault="003F007D" w:rsidP="003F007D">
      <w:pPr>
        <w:ind w:firstLine="708"/>
        <w:jc w:val="both"/>
      </w:pPr>
      <w:r>
        <w:t>Fueron declarados sin lugar los recursos de hábeas corpus establecidos</w:t>
      </w:r>
      <w:r w:rsidR="00864800">
        <w:t xml:space="preserve"> por Rafael Bermúdez Núñez, Francisco Quesada Durán, y por Rogelio Fernández </w:t>
      </w:r>
      <w:proofErr w:type="spellStart"/>
      <w:r w:rsidR="00864800">
        <w:t>Fernández</w:t>
      </w:r>
      <w:proofErr w:type="spellEnd"/>
      <w:r w:rsidR="00864800">
        <w:t>, a favor de Víctor Torres Núñez, en razón de haber informado los Alcaldes de Esparta y Santa Ana, y el Jefe Político de Nicoya, por su orden, que la privación de libertad de Bermúdez, Quesada y Torres, se origina en los autos de detención preventiva y en la sentencia dictados: contra el primero, en la sumaria seguida por el delito de tentativa de homicidio en perjuicio de José Joaquín Carvajal Chacón; contra el segundo, en el proceso que se instruye por los delitos de estupro y rapto, y contra el tercero, en las diligencias por la falta de portación de armas prohibidas</w:t>
      </w:r>
      <w:r>
        <w:t>.</w:t>
      </w:r>
    </w:p>
    <w:sectPr w:rsidR="003F007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F007D"/>
    <w:rsid w:val="00033CB9"/>
    <w:rsid w:val="003F007D"/>
    <w:rsid w:val="00864800"/>
    <w:rsid w:val="00956078"/>
    <w:rsid w:val="00F1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0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2016-11-28T16:26:00Z</dcterms:created>
  <dcterms:modified xsi:type="dcterms:W3CDTF">2016-11-28T16:45:00Z</dcterms:modified>
</cp:coreProperties>
</file>