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5B" w:rsidRDefault="00EF505B" w:rsidP="00EF505B">
      <w:pPr>
        <w:jc w:val="center"/>
      </w:pPr>
      <w:r w:rsidRPr="005461BF">
        <w:rPr>
          <w:b/>
        </w:rPr>
        <w:t xml:space="preserve">N° </w:t>
      </w:r>
      <w:r>
        <w:rPr>
          <w:b/>
        </w:rPr>
        <w:t>9</w:t>
      </w:r>
    </w:p>
    <w:p w:rsidR="00EF505B" w:rsidRDefault="00EF505B" w:rsidP="00EF505B">
      <w:pPr>
        <w:ind w:firstLine="708"/>
        <w:jc w:val="both"/>
      </w:pPr>
      <w:r>
        <w:t>Sesión ordinaria de Corte Plena celebrada a las catorce horas del día seis de marzo de mil novecientos cincuenta, con asistencia inicial de los Magistrados Guardia, Presidente; Quirós, Ruiz, Ramírez, Iglesias, Aguilar, Ávila, Sánchez, Fernández Hernández, Castillo, Trejos, Acosta y Fernández Porras.</w:t>
      </w:r>
    </w:p>
    <w:p w:rsidR="00EF505B" w:rsidRDefault="00EF505B" w:rsidP="00EF505B">
      <w:pPr>
        <w:jc w:val="center"/>
        <w:rPr>
          <w:b/>
        </w:rPr>
      </w:pPr>
      <w:r>
        <w:rPr>
          <w:b/>
        </w:rPr>
        <w:t>Artículo III</w:t>
      </w:r>
    </w:p>
    <w:p w:rsidR="00EF505B" w:rsidRDefault="00EF505B" w:rsidP="00EF505B">
      <w:pPr>
        <w:ind w:firstLine="708"/>
        <w:jc w:val="both"/>
      </w:pPr>
      <w:r>
        <w:t>De conformidad con el artículo 11, inciso 3º, de la Ley de Hábeas Corpus se rechazó de plano el recurso interpuesto a su favor por Rafael Navarro Umaña, porque su detención se basa en un apremio civil ordenado para que se pague pensiones alimentarias.</w:t>
      </w:r>
    </w:p>
    <w:sectPr w:rsidR="00EF505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F505B"/>
    <w:rsid w:val="00033CB9"/>
    <w:rsid w:val="00956078"/>
    <w:rsid w:val="00EF505B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2016-11-28T16:45:00Z</dcterms:created>
  <dcterms:modified xsi:type="dcterms:W3CDTF">2016-11-28T16:51:00Z</dcterms:modified>
</cp:coreProperties>
</file>