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B2" w:rsidRDefault="001F5FB2" w:rsidP="001F5FB2">
      <w:pPr>
        <w:jc w:val="center"/>
      </w:pPr>
      <w:r w:rsidRPr="005461BF">
        <w:rPr>
          <w:b/>
        </w:rPr>
        <w:t xml:space="preserve">N° </w:t>
      </w:r>
      <w:r>
        <w:rPr>
          <w:b/>
        </w:rPr>
        <w:t>9</w:t>
      </w:r>
    </w:p>
    <w:p w:rsidR="001F5FB2" w:rsidRDefault="001F5FB2" w:rsidP="001F5FB2">
      <w:pPr>
        <w:ind w:firstLine="708"/>
        <w:jc w:val="both"/>
      </w:pPr>
      <w:r>
        <w:t>Sesión ordinaria de Corte Plena celebrada a las catorce horas del día seis de marzo de mil novecientos cincuenta, con asistencia inicial de los Magistrados Guardia, Presidente; Quirós, Ruiz, Ramírez, Iglesias, Aguilar, Ávila, Sánchez, Fernández Hernández, Castillo, Trejos, Acosta y Fernández Porras.</w:t>
      </w:r>
    </w:p>
    <w:p w:rsidR="001F5FB2" w:rsidRDefault="001F5FB2" w:rsidP="001F5FB2">
      <w:pPr>
        <w:jc w:val="center"/>
        <w:rPr>
          <w:b/>
        </w:rPr>
      </w:pPr>
      <w:r>
        <w:rPr>
          <w:b/>
        </w:rPr>
        <w:t>Artículo VI</w:t>
      </w:r>
    </w:p>
    <w:p w:rsidR="00892D47" w:rsidRDefault="001F5FB2" w:rsidP="001F5FB2">
      <w:pPr>
        <w:ind w:firstLine="708"/>
        <w:jc w:val="both"/>
      </w:pPr>
      <w:r>
        <w:t>Se examinó el recurso de hábeas cor</w:t>
      </w:r>
      <w:r w:rsidR="00B05F68">
        <w:t xml:space="preserve">pus establecido a su favor por Oscar Carvajal Brenes, Santiago Campos Eduarte, Enrique Campos Eduarte, Modesto León León, Carlos Alberto Guerrero </w:t>
      </w:r>
      <w:r w:rsidR="00892D47">
        <w:t>Umaña</w:t>
      </w:r>
      <w:r w:rsidR="00B05F68">
        <w:t xml:space="preserve">, Oscar González González, Juan de Dios Reyes Avendaño, José Joaquín Mora Zúñiga y Rigoberto Sánchez Esquivel; y previa discusión se acordó: archivar el recurso en cuanto a Guerrero </w:t>
      </w:r>
      <w:r w:rsidR="002D3713">
        <w:t xml:space="preserve">Umaña, por estar en libertad, según informe del Director de la Cárcel Pública de esta ciudad; y declararlo sin lugar respecto de los demás, porque su detención tiene origen, según </w:t>
      </w:r>
      <w:r w:rsidR="00892D47">
        <w:t>informan</w:t>
      </w:r>
      <w:r w:rsidR="002D3713">
        <w:t xml:space="preserve"> los Agentes Principales de Policía Judicial y de </w:t>
      </w:r>
      <w:r w:rsidR="00892D47">
        <w:t>Menores</w:t>
      </w:r>
      <w:r w:rsidR="002D3713">
        <w:t xml:space="preserve">, en los autos de detención preventiva dictados en las diligencias que se siguen </w:t>
      </w:r>
      <w:r w:rsidR="00892D47">
        <w:t>contra Carvajal Brenes, Santiago Campos Eduarte y González González, por la falta de vagancia, y a la sentencia firme decretada por Enrique Campos Eduarte, Reyes Avendaño, Mora Zúñiga, Sánchez Esquivel y León León, en las diligencias seguidas por la falta de desobediencia a la autoridad.</w:t>
      </w:r>
    </w:p>
    <w:p w:rsidR="001F5FB2" w:rsidRDefault="00892D47" w:rsidP="001F5FB2">
      <w:pPr>
        <w:ind w:firstLine="708"/>
        <w:jc w:val="both"/>
      </w:pPr>
      <w:r>
        <w:t>El Magistrado Guardia se pronunció por declarar con lugar el recurso en todos los casos de detención provisional, porque como lo ha expuesto en casos similares anteriores, en materia de faltas, a su juicio, no cabe esa medida; y los Magistrados Elizondo y Fernández Hernández en el caso de Carvajal Brenes, se pronunciaron por declarar con lugar el recurso, porque su detención fue decretada con base en un solo testimonio y no en dos, como lo exige la Ley de Vagos</w:t>
      </w:r>
      <w:r w:rsidR="001F5FB2">
        <w:t>.</w:t>
      </w:r>
    </w:p>
    <w:sectPr w:rsidR="001F5FB2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1F5FB2"/>
    <w:rsid w:val="00033CB9"/>
    <w:rsid w:val="001F5FB2"/>
    <w:rsid w:val="002D3713"/>
    <w:rsid w:val="00892D47"/>
    <w:rsid w:val="00956078"/>
    <w:rsid w:val="00B05F68"/>
    <w:rsid w:val="00F1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2016-11-28T16:57:00Z</dcterms:created>
  <dcterms:modified xsi:type="dcterms:W3CDTF">2016-11-28T17:35:00Z</dcterms:modified>
</cp:coreProperties>
</file>