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EE" w:rsidRDefault="006A2AEE" w:rsidP="006A2AEE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</w:t>
      </w:r>
    </w:p>
    <w:p w:rsidR="006A2AEE" w:rsidRDefault="006A2AEE" w:rsidP="006A2AEE">
      <w:pPr>
        <w:ind w:firstLine="708"/>
        <w:jc w:val="both"/>
      </w:pPr>
      <w:r>
        <w:t>Sesión de Corte Interina, celebrada a las catorce horas del tres de febrero de mil novecientos cincuenta y cuatro, con asistencia de los Magistrados Trejos, quien preside; Fernández Hernández y Sanabria.</w:t>
      </w:r>
    </w:p>
    <w:p w:rsidR="006A2AEE" w:rsidRDefault="006A2AEE" w:rsidP="006A2AEE">
      <w:pPr>
        <w:jc w:val="center"/>
        <w:rPr>
          <w:b/>
        </w:rPr>
      </w:pPr>
      <w:r>
        <w:rPr>
          <w:b/>
        </w:rPr>
        <w:t>Artículo II</w:t>
      </w:r>
    </w:p>
    <w:p w:rsidR="00956078" w:rsidRDefault="006A2AEE" w:rsidP="006A2AEE">
      <w:pPr>
        <w:ind w:firstLine="708"/>
        <w:jc w:val="both"/>
      </w:pPr>
      <w:r>
        <w:t xml:space="preserve">Por haber informado el Alcalde de Santa Ana y el Comandante de Plaza de Heredia que José Ángel Alvarado Ulate y Ángel Zamora Ruiz y </w:t>
      </w:r>
      <w:proofErr w:type="spellStart"/>
      <w:r>
        <w:t>Noemy</w:t>
      </w:r>
      <w:proofErr w:type="spellEnd"/>
      <w:r>
        <w:t xml:space="preserve"> Chaverri Molina, se hallan en libertad, se dispuso archivar los recursos de hábeas corpus interpuestos a su favor y a favor de la última por Socorro Molina viuda de Chaverri.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A2AEE"/>
    <w:rsid w:val="00033CB9"/>
    <w:rsid w:val="006A2AEE"/>
    <w:rsid w:val="00956078"/>
    <w:rsid w:val="00E911A1"/>
    <w:rsid w:val="00F1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2016-12-23T15:10:00Z</dcterms:created>
  <dcterms:modified xsi:type="dcterms:W3CDTF">2016-12-23T16:04:00Z</dcterms:modified>
</cp:coreProperties>
</file>