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1" w:rsidRDefault="00B913E1" w:rsidP="00B913E1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</w:t>
      </w:r>
    </w:p>
    <w:p w:rsidR="00B913E1" w:rsidRDefault="00B913E1" w:rsidP="00B913E1">
      <w:pPr>
        <w:ind w:firstLine="708"/>
        <w:jc w:val="both"/>
      </w:pPr>
      <w:r>
        <w:t>Sesión de Corte Interina, celebrada a las catorce horas del tres de febrero de mil novecientos cincuenta y cuatro, con asistencia de los Magistrados Trejos, quien preside; Fernández Hernández y Sanabria.</w:t>
      </w:r>
    </w:p>
    <w:p w:rsidR="00B913E1" w:rsidRDefault="00B913E1" w:rsidP="00B913E1">
      <w:pPr>
        <w:jc w:val="center"/>
        <w:rPr>
          <w:b/>
        </w:rPr>
      </w:pPr>
      <w:r>
        <w:rPr>
          <w:b/>
        </w:rPr>
        <w:t>Artículo III</w:t>
      </w:r>
    </w:p>
    <w:p w:rsidR="00956078" w:rsidRDefault="00B913E1" w:rsidP="00B913E1">
      <w:pPr>
        <w:ind w:firstLine="708"/>
        <w:jc w:val="both"/>
      </w:pPr>
      <w:r>
        <w:t>Visto el recurso de hábeas corpus interpuesto a su favor por Carlos Luis Jiménez Hidalgo, conocido también por Edgar Carvajal Arias, en el cual el Alcalde de Escazú manifiesta que no sigue proceso contra dicho recurrente y que por lo mismo no se explica por qué razón la Dirección General de Detectives lo puso a su orden, se dispuso: declarar con lugar el recurso y ordenar la inmediata libertad del recluido, por haberse prolongado su detención por más de veinticuatro horas sin que exista auto de autoridad competente que así lo ordene.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913E1"/>
    <w:rsid w:val="00033CB9"/>
    <w:rsid w:val="00956078"/>
    <w:rsid w:val="00B913E1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2016-12-23T16:06:00Z</dcterms:created>
  <dcterms:modified xsi:type="dcterms:W3CDTF">2016-12-23T16:11:00Z</dcterms:modified>
</cp:coreProperties>
</file>