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6" w:rsidRDefault="005F6D86" w:rsidP="005F6D8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5F6D86" w:rsidRDefault="005F6D86" w:rsidP="005F6D86">
      <w:pPr>
        <w:ind w:firstLine="708"/>
        <w:jc w:val="both"/>
      </w:pPr>
      <w:r>
        <w:t>Sesión de Corte Interina, celebrada a las quince horas del ocho de febrero de mil novecientos cincuenta y cuatro, con asistencia de los Magistrados Trejos, quien preside; Fernández Hernández y Sanabria.</w:t>
      </w:r>
    </w:p>
    <w:p w:rsidR="005F6D86" w:rsidRDefault="005F6D86" w:rsidP="005F6D86">
      <w:pPr>
        <w:jc w:val="center"/>
        <w:rPr>
          <w:b/>
        </w:rPr>
      </w:pPr>
      <w:r>
        <w:rPr>
          <w:b/>
        </w:rPr>
        <w:t>Artículo II</w:t>
      </w:r>
    </w:p>
    <w:p w:rsidR="005F6D86" w:rsidRDefault="005F6D86" w:rsidP="005F6D86">
      <w:pPr>
        <w:ind w:firstLine="708"/>
        <w:jc w:val="both"/>
      </w:pPr>
      <w:r>
        <w:t xml:space="preserve">Por no estar ya detenidas las personas a favor de las cuales se recurre, se dispuso archivar los siguientes recursos de hábeas corpus: el de Evelia Elizondo Sáenz, a favor de Armando Aguilar Ledezma; el de José Amancio Sandí, a favor de María Catalina Sandí y María Josefa Núñez y el de </w:t>
      </w:r>
      <w:proofErr w:type="spellStart"/>
      <w:r>
        <w:t>Flory</w:t>
      </w:r>
      <w:proofErr w:type="spellEnd"/>
      <w:r>
        <w:t xml:space="preserve"> Vargas Araya a favor de Eladio de sus mismos apellidos.</w:t>
      </w:r>
    </w:p>
    <w:sectPr w:rsidR="005F6D8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F6D86"/>
    <w:rsid w:val="00033CB9"/>
    <w:rsid w:val="005F6D86"/>
    <w:rsid w:val="00956078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2016-12-23T16:19:00Z</dcterms:created>
  <dcterms:modified xsi:type="dcterms:W3CDTF">2016-12-23T16:28:00Z</dcterms:modified>
</cp:coreProperties>
</file>