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FF" w:rsidRDefault="000570FF" w:rsidP="000570FF">
      <w:pPr>
        <w:jc w:val="center"/>
      </w:pPr>
      <w:r w:rsidRPr="00900787">
        <w:rPr>
          <w:b/>
        </w:rPr>
        <w:t xml:space="preserve">N° </w:t>
      </w:r>
      <w:r>
        <w:rPr>
          <w:b/>
        </w:rPr>
        <w:t>16</w:t>
      </w:r>
    </w:p>
    <w:p w:rsidR="000570FF" w:rsidRDefault="000570FF" w:rsidP="000570FF">
      <w:pPr>
        <w:ind w:firstLine="708"/>
        <w:jc w:val="both"/>
      </w:pPr>
      <w:r>
        <w:t>Sesión ordinaria de Corte Plena, celebrada a las catorce horas del día diecinueve de abril de mil novecientos cincuenta y cuatro, con asistencia inicial de los Magistrados Guardia, Presidente; Quirós, Ramírez, Baudrit, Aguilar, Cordero, Fernández Hernández, Sanabria, Bejarano, Acosta, Fernández Porras y del suplente Chacón Pacheco.</w:t>
      </w:r>
    </w:p>
    <w:p w:rsidR="000570FF" w:rsidRDefault="000570FF" w:rsidP="000570FF">
      <w:pPr>
        <w:jc w:val="center"/>
        <w:rPr>
          <w:b/>
        </w:rPr>
      </w:pPr>
      <w:r>
        <w:rPr>
          <w:b/>
        </w:rPr>
        <w:t>Artículo II</w:t>
      </w:r>
    </w:p>
    <w:p w:rsidR="000570FF" w:rsidRDefault="000570FF" w:rsidP="000570FF">
      <w:pPr>
        <w:ind w:firstLine="708"/>
        <w:jc w:val="both"/>
      </w:pPr>
      <w:r>
        <w:t>De conformidad con el artículo 11, inciso 3º, de la Ley de Hábeas Corpus, se rechazó el recurso de la misma materia, establecido por Rafael Ángel Alfaro Leitón, por tratarse en la especie de un caso de apremio corporal decretado por deuda de pensión alimenticia.</w:t>
      </w:r>
    </w:p>
    <w:sectPr w:rsidR="000570F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570FF"/>
    <w:rsid w:val="00033CB9"/>
    <w:rsid w:val="000570FF"/>
    <w:rsid w:val="006406FB"/>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94</Words>
  <Characters>521</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2017-01-10T16:26:00Z</dcterms:created>
  <dcterms:modified xsi:type="dcterms:W3CDTF">2017-01-10T16:38:00Z</dcterms:modified>
</cp:coreProperties>
</file>