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E6" w:rsidRDefault="006F53E6" w:rsidP="006F53E6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16</w:t>
      </w:r>
    </w:p>
    <w:p w:rsidR="006F53E6" w:rsidRDefault="006F53E6" w:rsidP="006F53E6">
      <w:pPr>
        <w:ind w:firstLine="708"/>
        <w:jc w:val="both"/>
      </w:pPr>
      <w:r>
        <w:t>Sesión ordinaria de Corte Plena, celebrada a las catorce horas del día diecinueve de abril de mil novecientos cincuenta y cuatro, con asistencia inicial de los Magistrados Guardia, Presidente; Quirós, Ramírez, Baudrit, Aguilar, Cordero, Fernández Hernández, Sanabria, Bejarano, Acosta, Fernández Porras y del suplente Chacón Pacheco.</w:t>
      </w:r>
    </w:p>
    <w:p w:rsidR="006F53E6" w:rsidRDefault="006F53E6" w:rsidP="006F53E6">
      <w:pPr>
        <w:jc w:val="center"/>
        <w:rPr>
          <w:b/>
        </w:rPr>
      </w:pPr>
      <w:r>
        <w:rPr>
          <w:b/>
        </w:rPr>
        <w:t>Artículo IV</w:t>
      </w:r>
    </w:p>
    <w:p w:rsidR="006F53E6" w:rsidRDefault="006F53E6" w:rsidP="006F53E6">
      <w:pPr>
        <w:ind w:firstLine="708"/>
        <w:jc w:val="both"/>
      </w:pPr>
      <w:r>
        <w:t>De acuerdo con el artículo 8º de la Ley de Hábeas Corpus, se declaró de plano procedente el recurso establecido por Carlos y Ángel Acevedo, y Juan Bravo, y al propio tiempo se ordenó su inmediata libertad, en vista de que el Jefe del Departamento de Extranjeros no contestó el informe solicitado.</w:t>
      </w:r>
    </w:p>
    <w:sectPr w:rsidR="006F53E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F53E6"/>
    <w:rsid w:val="00033CB9"/>
    <w:rsid w:val="006406FB"/>
    <w:rsid w:val="006F53E6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2017-01-10T16:41:00Z</dcterms:created>
  <dcterms:modified xsi:type="dcterms:W3CDTF">2017-01-10T16:44:00Z</dcterms:modified>
</cp:coreProperties>
</file>