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70" w:rsidRDefault="00E82370" w:rsidP="00E82370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13</w:t>
      </w:r>
    </w:p>
    <w:p w:rsidR="00E82370" w:rsidRDefault="00E82370" w:rsidP="00E82370">
      <w:pPr>
        <w:ind w:firstLine="708"/>
        <w:jc w:val="both"/>
      </w:pPr>
      <w:r>
        <w:t xml:space="preserve">Sesión ordinaria de Corte </w:t>
      </w:r>
      <w:r w:rsidR="008C3458">
        <w:t>Plena</w:t>
      </w:r>
      <w:r>
        <w:t xml:space="preserve"> celebrada a las catorce horas del día veintiséis de marzo de mil novecientos cincuenta y seis, con asistencia de los Magistrados Baudrit, Presidente; Quirós, Ramírez, Ávila, Bejarano, Acosta, Jacobo, Soto, Trejos, Sanabria, Calzada, Fernández, Jiménez, Jugo y del suplente González Sibaja.</w:t>
      </w:r>
    </w:p>
    <w:p w:rsidR="00E82370" w:rsidRDefault="00E82370" w:rsidP="00E82370">
      <w:pPr>
        <w:jc w:val="center"/>
        <w:rPr>
          <w:b/>
        </w:rPr>
      </w:pPr>
      <w:r>
        <w:rPr>
          <w:b/>
        </w:rPr>
        <w:t>Artículo III</w:t>
      </w:r>
    </w:p>
    <w:p w:rsidR="00E82370" w:rsidRDefault="00E82370" w:rsidP="00E82370">
      <w:pPr>
        <w:ind w:firstLine="708"/>
        <w:jc w:val="both"/>
      </w:pPr>
      <w:r>
        <w:t>Se dispuso declarar sin lugar los recursos de hábeas corpus establecidos por Claudina Rojas de Rivera a favor de Humberto Rivera Rojas, por Amado Matarrita Q., a favor de Pablo Gutiérrez, por Abel Calderón Jiménez a favor de Misael Navarro Madrigal, y por Gonzalo Solano Falla</w:t>
      </w:r>
      <w:r w:rsidR="0074202D">
        <w:t>s</w:t>
      </w:r>
      <w:r>
        <w:t>, en razón de haber informado, por su orden, el Alcalde de Turrialba, el Alcalde de Santa Cruz</w:t>
      </w:r>
      <w:r w:rsidR="0021308F">
        <w:t xml:space="preserve">, el Jefe Político de Desamparados, y el Jefe Político de Alajuelita, que la privación de libertad de Ribera Rojas se origina en el auto de detención provisional dictado en la sumaria que se sigue por el </w:t>
      </w:r>
      <w:r w:rsidR="00C42890">
        <w:t>delito de robo en perjuicio de Fernando Fallas Rivera; la de Gutiérrez, en el auto de reclusión preventiva dictado en la sumaria que se instruye por los delitos de atentado contra la autoridad y lesiones en daño de Ezequiel Cerdas Juárez; la de Navarro Madrigal, en la sentencia condenatoria firme, por la falta de lesiones en perjuicio de Luis de sus mismos apellidos; y la de Solano Fallas, en la sentencia condenatoria dictada en las diligencias acumuladas por merodeo en perjuicio de Alfonso Carpio Morales y José María Madrigal Corrales, diligencias en las que, además, existe auto motivado de detención contra el recurrente</w:t>
      </w:r>
      <w:r>
        <w:t>.</w:t>
      </w:r>
    </w:p>
    <w:sectPr w:rsidR="00E8237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82370"/>
    <w:rsid w:val="00033CB9"/>
    <w:rsid w:val="0021308F"/>
    <w:rsid w:val="00433FC2"/>
    <w:rsid w:val="0074202D"/>
    <w:rsid w:val="008C3458"/>
    <w:rsid w:val="0093619D"/>
    <w:rsid w:val="00956078"/>
    <w:rsid w:val="00C42890"/>
    <w:rsid w:val="00E82370"/>
    <w:rsid w:val="00F6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4</cp:revision>
  <dcterms:created xsi:type="dcterms:W3CDTF">2017-01-20T14:54:00Z</dcterms:created>
  <dcterms:modified xsi:type="dcterms:W3CDTF">2017-01-26T14:29:00Z</dcterms:modified>
</cp:coreProperties>
</file>