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1" w:rsidRDefault="005E4F91" w:rsidP="005E4F9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45</w:t>
      </w:r>
    </w:p>
    <w:p w:rsidR="005E4F91" w:rsidRDefault="005E4F91" w:rsidP="005E4F91">
      <w:pPr>
        <w:ind w:firstLine="708"/>
        <w:jc w:val="both"/>
      </w:pPr>
      <w:r>
        <w:t>Sesión ordinaria de Corte Plena celebrada a las catorce horas del día dieciséis de setiembre de mil novecientos cincuenta y siete, con asistencia inicial de los señores Magistrados Baudrit, Presidente; Quirós, Ramírez, Ávila, Bejarano, Acosta, Jacobo, Soto, Trejos, Sanabria, Calzada, Fernández, Jiménez, Jugo y del suplente Cruz Bolaños.</w:t>
      </w:r>
    </w:p>
    <w:p w:rsidR="005E4F91" w:rsidRDefault="005E4F91" w:rsidP="005E4F91">
      <w:pPr>
        <w:jc w:val="center"/>
        <w:rPr>
          <w:b/>
        </w:rPr>
      </w:pPr>
      <w:r>
        <w:rPr>
          <w:b/>
        </w:rPr>
        <w:t>Artículo II</w:t>
      </w:r>
    </w:p>
    <w:p w:rsidR="005E4F91" w:rsidRDefault="005E4F91" w:rsidP="005E4F91">
      <w:pPr>
        <w:ind w:firstLine="708"/>
        <w:jc w:val="both"/>
      </w:pPr>
      <w:r>
        <w:t>Por estar en libertad Milán Chocano Calderón se dispuso archivar el recurso de hábeas corpus interpuesto a su favor por Fernando Castillo Piedra.</w:t>
      </w:r>
    </w:p>
    <w:sectPr w:rsidR="005E4F9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E4F91"/>
    <w:rsid w:val="00033CB9"/>
    <w:rsid w:val="004C3360"/>
    <w:rsid w:val="005E4F91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2017-01-31T16:36:00Z</dcterms:created>
  <dcterms:modified xsi:type="dcterms:W3CDTF">2017-01-31T16:44:00Z</dcterms:modified>
</cp:coreProperties>
</file>