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81" w:rsidRDefault="00B55B81" w:rsidP="00B55B81">
      <w:pPr>
        <w:jc w:val="center"/>
      </w:pPr>
      <w:r w:rsidRPr="00900787">
        <w:rPr>
          <w:b/>
        </w:rPr>
        <w:t xml:space="preserve">N° </w:t>
      </w:r>
      <w:r>
        <w:rPr>
          <w:b/>
        </w:rPr>
        <w:t>4</w:t>
      </w:r>
      <w:r w:rsidR="00757AFC">
        <w:rPr>
          <w:b/>
        </w:rPr>
        <w:t>8</w:t>
      </w:r>
    </w:p>
    <w:p w:rsidR="00B55B81" w:rsidRDefault="00B55B81" w:rsidP="00B55B81">
      <w:pPr>
        <w:ind w:firstLine="708"/>
        <w:jc w:val="both"/>
      </w:pPr>
      <w:r>
        <w:t xml:space="preserve">Sesión ordinaria de Corte Plena celebrada a las catorce horas del día </w:t>
      </w:r>
      <w:r w:rsidR="00757AFC">
        <w:t xml:space="preserve">siete </w:t>
      </w:r>
      <w:r>
        <w:t xml:space="preserve">de </w:t>
      </w:r>
      <w:r w:rsidR="00757AFC">
        <w:t xml:space="preserve">octubre </w:t>
      </w:r>
      <w:r>
        <w:t xml:space="preserve">de mil novecientos cincuenta y siete, con asistencia inicial de los señores Magistrados Baudrit, Presidente; Valle, Ramírez, Ávila, Bejarano, Acosta, Soto, Trejos, Calzada, Fernández, </w:t>
      </w:r>
      <w:r w:rsidR="00757AFC">
        <w:t xml:space="preserve">Jugo </w:t>
      </w:r>
      <w:r>
        <w:t>y de los suplentes Johanning Murillo y Sotela Montagné.</w:t>
      </w:r>
    </w:p>
    <w:p w:rsidR="00B55B81" w:rsidRDefault="00B55B81" w:rsidP="00B55B81">
      <w:pPr>
        <w:jc w:val="center"/>
        <w:rPr>
          <w:b/>
        </w:rPr>
      </w:pPr>
      <w:r>
        <w:rPr>
          <w:b/>
        </w:rPr>
        <w:t>Artículo I</w:t>
      </w:r>
      <w:r w:rsidR="00757AFC">
        <w:rPr>
          <w:b/>
        </w:rPr>
        <w:t>I</w:t>
      </w:r>
    </w:p>
    <w:p w:rsidR="00B55B81" w:rsidRDefault="00757AFC" w:rsidP="00B55B81">
      <w:pPr>
        <w:ind w:firstLine="708"/>
        <w:jc w:val="both"/>
      </w:pPr>
      <w:r>
        <w:t>Por estar ya en libertad las personas que fueron detenidas, se dispuso archivar los siguientes recursos de hábeas corpus: el de Emilio Ramírez Vargas; el de Francisco Alcázar Fonseca a favor de Gonzalo de sus mismos apellidos; el de Manuel Hernández Mora; el de Mireya Rodríguez Fernández a favor de Moisés Meléndez Bustamante, y el de Edwin Coto Avendaño a favor de Miriam Sandoval Sánchez</w:t>
      </w:r>
      <w:r w:rsidR="00B55B81">
        <w:t>.</w:t>
      </w:r>
    </w:p>
    <w:sectPr w:rsidR="00B55B81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B55B81"/>
    <w:rsid w:val="00033CB9"/>
    <w:rsid w:val="004C3360"/>
    <w:rsid w:val="00757AFC"/>
    <w:rsid w:val="00956078"/>
    <w:rsid w:val="00AB0158"/>
    <w:rsid w:val="00B5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B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2017-01-31T19:29:00Z</dcterms:created>
  <dcterms:modified xsi:type="dcterms:W3CDTF">2017-01-31T21:19:00Z</dcterms:modified>
</cp:coreProperties>
</file>