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3C" w:rsidRDefault="0039303C" w:rsidP="0039303C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</w:t>
      </w:r>
      <w:r w:rsidR="002938DE">
        <w:rPr>
          <w:b/>
        </w:rPr>
        <w:t>6</w:t>
      </w:r>
    </w:p>
    <w:p w:rsidR="0039303C" w:rsidRDefault="0039303C" w:rsidP="0039303C">
      <w:pPr>
        <w:ind w:firstLine="708"/>
        <w:jc w:val="both"/>
      </w:pPr>
      <w:r>
        <w:t xml:space="preserve">Sesión ordinaria de Corte Plena celebrada a las catorce horas del día </w:t>
      </w:r>
      <w:r w:rsidR="002938DE">
        <w:t xml:space="preserve">dos </w:t>
      </w:r>
      <w:r>
        <w:t xml:space="preserve">de </w:t>
      </w:r>
      <w:r w:rsidR="002938DE">
        <w:t xml:space="preserve">diciembre </w:t>
      </w:r>
      <w:r>
        <w:t>de mil novecientos cincuenta y siete, con asistencia inicial de los señores Magistrados Baudrit, Presidente; Valle, Quirós, Ramírez, Ávila, Bejarano,</w:t>
      </w:r>
      <w:r w:rsidR="002938DE">
        <w:t xml:space="preserve"> Acosta,</w:t>
      </w:r>
      <w:r>
        <w:t xml:space="preserve"> Jacobo, Soto, Trejos,</w:t>
      </w:r>
      <w:r w:rsidR="002938DE">
        <w:t xml:space="preserve"> Sanabria,</w:t>
      </w:r>
      <w:r>
        <w:t xml:space="preserve"> Calzada, Fernández</w:t>
      </w:r>
      <w:r w:rsidR="002938DE">
        <w:t>, Jiménez, Jugo</w:t>
      </w:r>
      <w:r>
        <w:t xml:space="preserve"> y Porter.</w:t>
      </w:r>
    </w:p>
    <w:p w:rsidR="0039303C" w:rsidRDefault="0039303C" w:rsidP="0039303C">
      <w:pPr>
        <w:jc w:val="center"/>
        <w:rPr>
          <w:b/>
        </w:rPr>
      </w:pPr>
      <w:r>
        <w:rPr>
          <w:b/>
        </w:rPr>
        <w:t xml:space="preserve">Artículo </w:t>
      </w:r>
      <w:r w:rsidR="002938DE">
        <w:rPr>
          <w:b/>
        </w:rPr>
        <w:t>II</w:t>
      </w:r>
    </w:p>
    <w:p w:rsidR="0039303C" w:rsidRDefault="002938DE" w:rsidP="0039303C">
      <w:pPr>
        <w:ind w:firstLine="708"/>
        <w:jc w:val="both"/>
      </w:pPr>
      <w:r>
        <w:t xml:space="preserve">Por estar ya en </w:t>
      </w:r>
      <w:r w:rsidR="00842571">
        <w:t xml:space="preserve">libertad las personas </w:t>
      </w:r>
      <w:r w:rsidR="004D7967">
        <w:t xml:space="preserve">que se hallaban detenidas, se dispuso archivar los siguientes recursos de hábeas corpus: el de Abel Molina Gutiérrez, el de Guillermo Fernández Valverde y José Rafael Meza Araya a favor de Rodolfo Solano Salas y Rodrigo Escobar Cuevas, y el de José Rafael Meza Araya a favor de </w:t>
      </w:r>
      <w:proofErr w:type="spellStart"/>
      <w:r w:rsidR="004D7967">
        <w:t>Olman</w:t>
      </w:r>
      <w:proofErr w:type="spellEnd"/>
      <w:r w:rsidR="004D7967">
        <w:t xml:space="preserve"> Escobar Cuevas y de Eduardo López Villalobos. En el caso de Rodrigo Escobar Cuevas se archivó también el recurso, porque el Director General de Detectives informa que el que fue detenido y puesto en libertad fue </w:t>
      </w:r>
      <w:proofErr w:type="spellStart"/>
      <w:r w:rsidR="004D7967">
        <w:t>Olman</w:t>
      </w:r>
      <w:proofErr w:type="spellEnd"/>
      <w:r w:rsidR="004D7967">
        <w:t xml:space="preserve"> de los mismos apellidos, aduciendo que seguramente se trata de la misma persona</w:t>
      </w:r>
      <w:r w:rsidR="0039303C">
        <w:t>.</w:t>
      </w:r>
    </w:p>
    <w:sectPr w:rsidR="0039303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39303C"/>
    <w:rsid w:val="00033CB9"/>
    <w:rsid w:val="002938DE"/>
    <w:rsid w:val="0039303C"/>
    <w:rsid w:val="004D7967"/>
    <w:rsid w:val="00842571"/>
    <w:rsid w:val="00956078"/>
    <w:rsid w:val="00B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2017-02-01T16:33:00Z</dcterms:created>
  <dcterms:modified xsi:type="dcterms:W3CDTF">2017-02-01T19:50:00Z</dcterms:modified>
</cp:coreProperties>
</file>