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4777C4" w:rsidTr="000D4965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C4" w:rsidRDefault="004777C4" w:rsidP="000D4965">
            <w:pPr>
              <w:tabs>
                <w:tab w:val="left" w:pos="100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C4" w:rsidRDefault="004777C4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de marzo de 1957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C4" w:rsidRDefault="004777C4" w:rsidP="000D496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C4" w:rsidRDefault="004777C4" w:rsidP="004776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</w:tr>
      <w:tr w:rsidR="004777C4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C4" w:rsidRDefault="004777C4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4777C4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C4" w:rsidRDefault="004777C4" w:rsidP="000D4965">
            <w:pPr>
              <w:tabs>
                <w:tab w:val="left" w:pos="2025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077307">
              <w:rPr>
                <w:rFonts w:ascii="Arial" w:hAnsi="Arial" w:cs="Arial"/>
                <w:sz w:val="20"/>
              </w:rPr>
              <w:t>Fernando Fernández Ruiz,</w:t>
            </w:r>
            <w:r w:rsidR="00077307" w:rsidRPr="00077307">
              <w:rPr>
                <w:rFonts w:ascii="Arial" w:hAnsi="Arial" w:cs="Arial"/>
                <w:sz w:val="20"/>
              </w:rPr>
              <w:t xml:space="preserve"> Edwin E. Campos</w:t>
            </w:r>
          </w:p>
        </w:tc>
      </w:tr>
      <w:tr w:rsidR="004777C4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C4" w:rsidRDefault="004777C4" w:rsidP="000D496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077307">
              <w:rPr>
                <w:rFonts w:ascii="Arial" w:hAnsi="Arial" w:cs="Arial"/>
                <w:sz w:val="20"/>
              </w:rPr>
              <w:t>Jefe Político de Puerto Cortés</w:t>
            </w:r>
          </w:p>
        </w:tc>
      </w:tr>
      <w:tr w:rsidR="004777C4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C4" w:rsidRDefault="004777C4" w:rsidP="0047763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477633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077307">
              <w:rPr>
                <w:rFonts w:ascii="Arial" w:hAnsi="Arial" w:cs="Arial"/>
                <w:sz w:val="20"/>
              </w:rPr>
              <w:t>Ambos</w:t>
            </w:r>
            <w:r>
              <w:rPr>
                <w:rFonts w:ascii="Arial" w:hAnsi="Arial" w:cs="Arial"/>
                <w:sz w:val="20"/>
              </w:rPr>
              <w:t xml:space="preserve"> recurrente</w:t>
            </w:r>
            <w:r w:rsidR="00077307">
              <w:rPr>
                <w:rFonts w:ascii="Arial" w:hAnsi="Arial" w:cs="Arial"/>
                <w:sz w:val="20"/>
              </w:rPr>
              <w:t>s</w:t>
            </w:r>
            <w:r>
              <w:rPr>
                <w:rFonts w:ascii="Arial" w:hAnsi="Arial" w:cs="Arial"/>
                <w:sz w:val="20"/>
              </w:rPr>
              <w:t xml:space="preserve"> reclama</w:t>
            </w:r>
            <w:r w:rsidR="00077307">
              <w:rPr>
                <w:rFonts w:ascii="Arial" w:hAnsi="Arial" w:cs="Arial"/>
                <w:sz w:val="20"/>
              </w:rPr>
              <w:t>n su libertad.</w:t>
            </w:r>
          </w:p>
        </w:tc>
      </w:tr>
      <w:tr w:rsidR="004777C4" w:rsidTr="000D4965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C4" w:rsidRDefault="004777C4" w:rsidP="00477633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477633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 w:rsidR="00077307">
              <w:rPr>
                <w:rFonts w:ascii="Arial" w:hAnsi="Arial" w:cs="Arial"/>
                <w:sz w:val="20"/>
              </w:rPr>
              <w:t>La reclusión de los recurrentes se debe al auto de detención provisional decretado en su contra por la falta de juegos prohibidos.</w:t>
            </w:r>
          </w:p>
        </w:tc>
      </w:tr>
      <w:tr w:rsidR="004777C4" w:rsidTr="0047763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7C4" w:rsidRDefault="004777C4" w:rsidP="00477633">
            <w:pPr>
              <w:tabs>
                <w:tab w:val="left" w:pos="336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477633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307" w:rsidRDefault="004777C4" w:rsidP="000D496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077307">
              <w:rPr>
                <w:rFonts w:ascii="Arial" w:hAnsi="Arial" w:cs="Arial"/>
                <w:sz w:val="20"/>
              </w:rPr>
              <w:t>la reclusión de los recurrentes se debe al auto de detención provisional decretado en su contra con fundamento</w:t>
            </w:r>
            <w:r>
              <w:rPr>
                <w:rFonts w:ascii="Arial" w:hAnsi="Arial" w:cs="Arial"/>
                <w:sz w:val="20"/>
              </w:rPr>
              <w:t>)</w:t>
            </w:r>
            <w:r w:rsidR="00077307">
              <w:rPr>
                <w:rFonts w:ascii="Arial" w:hAnsi="Arial" w:cs="Arial"/>
                <w:sz w:val="20"/>
              </w:rPr>
              <w:t>.</w:t>
            </w:r>
          </w:p>
          <w:p w:rsidR="004777C4" w:rsidRDefault="00077307" w:rsidP="000D4965">
            <w:pPr>
              <w:tabs>
                <w:tab w:val="left" w:pos="336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 Magistrado Bejarano votó por declarar con lugar el recurso.</w:t>
            </w:r>
            <w:bookmarkStart w:id="0" w:name="_GoBack"/>
            <w:bookmarkEnd w:id="0"/>
            <w:r w:rsidR="004777C4"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4777C4" w:rsidRDefault="004777C4" w:rsidP="004777C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777C4" w:rsidRDefault="004777C4" w:rsidP="004777C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8</w:t>
      </w:r>
    </w:p>
    <w:p w:rsidR="004777C4" w:rsidRDefault="004777C4" w:rsidP="004777C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catorce horas del día once de marzo de mil novecientos cincuenta y siete</w:t>
      </w:r>
      <w:r>
        <w:rPr>
          <w:rFonts w:ascii="Times New Roman" w:hAnsi="Times New Roman" w:cs="Times New Roman"/>
          <w:sz w:val="28"/>
        </w:rPr>
        <w:t xml:space="preserve">, con asistencia inicial de los Magistrados </w:t>
      </w:r>
      <w:proofErr w:type="spellStart"/>
      <w:r>
        <w:rPr>
          <w:rFonts w:ascii="Times New Roman" w:hAnsi="Times New Roman" w:cs="Times New Roman"/>
          <w:sz w:val="28"/>
        </w:rPr>
        <w:t>Baudrit</w:t>
      </w:r>
      <w:proofErr w:type="spellEnd"/>
      <w:r w:rsidR="0047763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477633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Quirós, Ramírez, </w:t>
      </w:r>
      <w:r w:rsidR="00477633">
        <w:rPr>
          <w:rFonts w:ascii="Times New Roman" w:hAnsi="Times New Roman" w:cs="Times New Roman"/>
          <w:sz w:val="28"/>
        </w:rPr>
        <w:t>Á</w:t>
      </w:r>
      <w:r>
        <w:rPr>
          <w:rFonts w:ascii="Times New Roman" w:hAnsi="Times New Roman" w:cs="Times New Roman"/>
          <w:sz w:val="28"/>
        </w:rPr>
        <w:t>vila, Bejarano, Jacobo, Soto, Trejos, Sanabria, Calzada, Fernández, Jiménez, Jugo y del suplente Cruz Bolaños.</w:t>
      </w:r>
    </w:p>
    <w:p w:rsidR="00477633" w:rsidRDefault="00477633" w:rsidP="004777C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777C4" w:rsidRDefault="004777C4" w:rsidP="004777C4">
      <w:pPr>
        <w:tabs>
          <w:tab w:val="center" w:pos="4419"/>
          <w:tab w:val="left" w:pos="577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V</w:t>
      </w:r>
    </w:p>
    <w:p w:rsidR="004777C4" w:rsidRDefault="004777C4" w:rsidP="004777C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tab/>
      </w:r>
      <w:r>
        <w:rPr>
          <w:rFonts w:ascii="Times New Roman" w:hAnsi="Times New Roman" w:cs="Times New Roman"/>
          <w:sz w:val="28"/>
        </w:rPr>
        <w:t xml:space="preserve">Asimismo fue declarado sin lugar el recurso de hábeas corpus establecido a su favor por </w:t>
      </w:r>
      <w:r w:rsidRPr="00077307">
        <w:rPr>
          <w:rFonts w:ascii="Times New Roman" w:hAnsi="Times New Roman" w:cs="Times New Roman"/>
          <w:b/>
          <w:sz w:val="28"/>
        </w:rPr>
        <w:t xml:space="preserve">FERNANDO FERNÁNDEZ RUIZ </w:t>
      </w:r>
      <w:r w:rsidRPr="00077307">
        <w:rPr>
          <w:rFonts w:ascii="Times New Roman" w:hAnsi="Times New Roman" w:cs="Times New Roman"/>
          <w:sz w:val="28"/>
        </w:rPr>
        <w:t>y</w:t>
      </w:r>
      <w:r w:rsidRPr="00077307">
        <w:rPr>
          <w:rFonts w:ascii="Times New Roman" w:hAnsi="Times New Roman" w:cs="Times New Roman"/>
          <w:b/>
          <w:sz w:val="28"/>
        </w:rPr>
        <w:t xml:space="preserve"> EDWIN E. CAMPOS</w:t>
      </w:r>
      <w:r>
        <w:rPr>
          <w:rFonts w:ascii="Times New Roman" w:hAnsi="Times New Roman" w:cs="Times New Roman"/>
          <w:sz w:val="28"/>
        </w:rPr>
        <w:t>, porque la reclusión de los recurrentes tiene base en el auto de detención provisional decretado por el Jefe Político de Puerto Cortés, en las diligencias seguidas po</w:t>
      </w:r>
      <w:r w:rsidR="00077307">
        <w:rPr>
          <w:rFonts w:ascii="Times New Roman" w:hAnsi="Times New Roman" w:cs="Times New Roman"/>
          <w:sz w:val="28"/>
        </w:rPr>
        <w:t>r la falta de juegos prohibidos.</w:t>
      </w:r>
    </w:p>
    <w:p w:rsidR="00077307" w:rsidRDefault="00077307" w:rsidP="004777C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El Magistrado Bejarano, como en el caso del artículo anterior, votó por declarar con lugar el recurso.</w:t>
      </w:r>
    </w:p>
    <w:p w:rsidR="00F963AC" w:rsidRDefault="00477633"/>
    <w:sectPr w:rsidR="00F963AC" w:rsidSect="001332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4777C4"/>
    <w:rsid w:val="00077307"/>
    <w:rsid w:val="00133228"/>
    <w:rsid w:val="00140966"/>
    <w:rsid w:val="00411BF0"/>
    <w:rsid w:val="00477633"/>
    <w:rsid w:val="004777C4"/>
    <w:rsid w:val="006633EB"/>
    <w:rsid w:val="00B17FA9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7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7C4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77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2017-05-15T02:16:00Z</dcterms:created>
  <dcterms:modified xsi:type="dcterms:W3CDTF">2017-06-02T18:01:00Z</dcterms:modified>
</cp:coreProperties>
</file>