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BD" w:rsidRDefault="001F66BD" w:rsidP="001F66BD">
      <w:pPr>
        <w:jc w:val="center"/>
      </w:pPr>
      <w:r>
        <w:rPr>
          <w:b/>
        </w:rPr>
        <w:t>N° 66</w:t>
      </w:r>
    </w:p>
    <w:p w:rsidR="001F66BD" w:rsidRDefault="001F66BD" w:rsidP="001F66BD">
      <w:pPr>
        <w:ind w:firstLine="708"/>
        <w:jc w:val="both"/>
      </w:pPr>
      <w:r>
        <w:t>Sesión ordinaria de Corte Plena celebrada a las catorce horas del día siete de setiembre de mil novecientos cincuenta y nueve, con asistencia inicial de los señores Magistrados Baudrit, Presidente; Valle, Quirós, Ramírez, Bejarano, Jacobo, Soto, Trejos, Sanabria, Calzada, Fernández</w:t>
      </w:r>
      <w:r w:rsidR="004857AD">
        <w:t>, Jugo</w:t>
      </w:r>
      <w:r>
        <w:t xml:space="preserve"> y </w:t>
      </w:r>
      <w:proofErr w:type="spellStart"/>
      <w:r w:rsidR="004857AD">
        <w:t>Porter</w:t>
      </w:r>
      <w:proofErr w:type="spellEnd"/>
      <w:r>
        <w:t>.</w:t>
      </w:r>
    </w:p>
    <w:p w:rsidR="001F66BD" w:rsidRDefault="001F66BD" w:rsidP="001F66BD">
      <w:pPr>
        <w:jc w:val="center"/>
        <w:rPr>
          <w:b/>
        </w:rPr>
      </w:pPr>
      <w:r>
        <w:rPr>
          <w:b/>
        </w:rPr>
        <w:t>Artículo II</w:t>
      </w:r>
    </w:p>
    <w:p w:rsidR="001F66BD" w:rsidRDefault="0081480E" w:rsidP="001F66BD">
      <w:pPr>
        <w:ind w:firstLine="708"/>
        <w:jc w:val="both"/>
      </w:pPr>
      <w:r>
        <w:t>Por estar en libertad las personas a favor de las cuales se recurre</w:t>
      </w:r>
      <w:r w:rsidR="00B16E1F">
        <w:t>, fueron archivados los siguientes recursos de hábeas corpus: el de José Rafael Meza Araya a favor de José Félix Ibarra Acuña; el de Omar Francisco Jaén Martínez y Nelson Alvarado Fonseca</w:t>
      </w:r>
      <w:r w:rsidR="005C3230">
        <w:t xml:space="preserve"> a favor de José Antonio </w:t>
      </w:r>
      <w:proofErr w:type="spellStart"/>
      <w:r w:rsidR="005C3230">
        <w:t>Lascariz</w:t>
      </w:r>
      <w:proofErr w:type="spellEnd"/>
      <w:r w:rsidR="005C3230">
        <w:t xml:space="preserve"> Solano; el de Humberto Paniagua Ramírez a favor de </w:t>
      </w:r>
      <w:r w:rsidR="001072CD">
        <w:t xml:space="preserve">Rafael de sus mismos apellidos; el de </w:t>
      </w:r>
      <w:proofErr w:type="spellStart"/>
      <w:r w:rsidR="001072CD">
        <w:t>Agripino</w:t>
      </w:r>
      <w:proofErr w:type="spellEnd"/>
      <w:r w:rsidR="00144CD3">
        <w:t xml:space="preserve"> Montenegro Martínez, y el de José Joaquín </w:t>
      </w:r>
      <w:proofErr w:type="spellStart"/>
      <w:r w:rsidR="00144CD3">
        <w:t>Hayley</w:t>
      </w:r>
      <w:proofErr w:type="spellEnd"/>
      <w:r w:rsidR="00144CD3">
        <w:t xml:space="preserve"> </w:t>
      </w:r>
      <w:proofErr w:type="spellStart"/>
      <w:r w:rsidR="00144CD3">
        <w:t>Genny</w:t>
      </w:r>
      <w:proofErr w:type="spellEnd"/>
      <w:r w:rsidR="00144CD3">
        <w:t xml:space="preserve"> a favor de Roger </w:t>
      </w:r>
      <w:proofErr w:type="spellStart"/>
      <w:r w:rsidR="00144CD3">
        <w:t>Dumani</w:t>
      </w:r>
      <w:proofErr w:type="spellEnd"/>
      <w:r w:rsidR="00144CD3">
        <w:t xml:space="preserve"> Venegas</w:t>
      </w:r>
      <w:r w:rsidR="001F66BD">
        <w:t>.</w:t>
      </w:r>
    </w:p>
    <w:sectPr w:rsidR="001F66BD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1F66BD"/>
    <w:rsid w:val="00033CB9"/>
    <w:rsid w:val="001072CD"/>
    <w:rsid w:val="00144CD3"/>
    <w:rsid w:val="001F66BD"/>
    <w:rsid w:val="004857AD"/>
    <w:rsid w:val="005C3230"/>
    <w:rsid w:val="0081480E"/>
    <w:rsid w:val="00956078"/>
    <w:rsid w:val="00B16E1F"/>
    <w:rsid w:val="00DA3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6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2017-02-15T16:25:00Z</dcterms:created>
  <dcterms:modified xsi:type="dcterms:W3CDTF">2017-02-15T19:29:00Z</dcterms:modified>
</cp:coreProperties>
</file>