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FC" w:rsidRDefault="00553DFC" w:rsidP="00553DFC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</w:t>
      </w:r>
      <w:r w:rsidR="00CE4182">
        <w:rPr>
          <w:b/>
        </w:rPr>
        <w:t>2</w:t>
      </w:r>
    </w:p>
    <w:p w:rsidR="00553DFC" w:rsidRDefault="00553DFC" w:rsidP="00553DFC">
      <w:pPr>
        <w:ind w:firstLine="708"/>
        <w:jc w:val="both"/>
      </w:pPr>
      <w:r>
        <w:t>Sesión ordinaria de Corte Plena celebrada a las catorce horas del día primero de abril de mil novecientos sesenta y tres, con asistencia de los señores Magistrados Baudrit, Presidente; Valle, Quirós, Ramírez, Ávila, Acosta, Jacobo, Soto, Sanabria, Calzada, Fernández, Jiménez y Jugo.</w:t>
      </w:r>
    </w:p>
    <w:p w:rsidR="00553DFC" w:rsidRDefault="00553DFC" w:rsidP="00553DFC">
      <w:pPr>
        <w:jc w:val="center"/>
        <w:rPr>
          <w:b/>
        </w:rPr>
      </w:pPr>
      <w:r>
        <w:rPr>
          <w:b/>
        </w:rPr>
        <w:t>Artículo II</w:t>
      </w:r>
    </w:p>
    <w:p w:rsidR="00553DFC" w:rsidRDefault="00553DFC" w:rsidP="00553DFC">
      <w:pPr>
        <w:ind w:firstLine="708"/>
        <w:jc w:val="both"/>
      </w:pPr>
      <w:r>
        <w:t xml:space="preserve">Por estar en libertad las personas a favor de las cuales se recurre, se dispuso archivar los siguientes recursos de hábeas corpus: el de Heriberto Chacón Solís; el de Efraín Brenes Rivera; el de Walter Chavarría Bonilla, y el de Enrique Obregón Valverde a favor de José Guillermo Carvajal Alfaro. </w:t>
      </w:r>
    </w:p>
    <w:sectPr w:rsidR="00553DF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53DFC"/>
    <w:rsid w:val="00033CB9"/>
    <w:rsid w:val="00553DFC"/>
    <w:rsid w:val="00712C1C"/>
    <w:rsid w:val="007B7CB2"/>
    <w:rsid w:val="00956078"/>
    <w:rsid w:val="00CE131B"/>
    <w:rsid w:val="00C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2017-03-22T22:18:00Z</dcterms:created>
  <dcterms:modified xsi:type="dcterms:W3CDTF">2017-03-24T14:10:00Z</dcterms:modified>
</cp:coreProperties>
</file>