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AD" w:rsidRDefault="004B79AD" w:rsidP="004B79AD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</w:t>
      </w:r>
    </w:p>
    <w:p w:rsidR="004B79AD" w:rsidRDefault="004B79AD" w:rsidP="004B79AD">
      <w:pPr>
        <w:ind w:firstLine="708"/>
        <w:jc w:val="both"/>
      </w:pPr>
      <w:r>
        <w:t>Sesión de Corte Interina celebrada a las catorce horas del tres de febrero de mil novecientos sesenta y cuatro, con asistencia de los señores Calzada, Presidente; Jugo y Coto.</w:t>
      </w:r>
    </w:p>
    <w:p w:rsidR="004B79AD" w:rsidRDefault="004B79AD" w:rsidP="004B79AD">
      <w:pPr>
        <w:jc w:val="center"/>
        <w:rPr>
          <w:b/>
        </w:rPr>
      </w:pPr>
      <w:r>
        <w:rPr>
          <w:b/>
        </w:rPr>
        <w:t>Artículo II</w:t>
      </w:r>
    </w:p>
    <w:p w:rsidR="004B79AD" w:rsidRDefault="004B79AD" w:rsidP="004B79AD">
      <w:pPr>
        <w:ind w:firstLine="708"/>
        <w:jc w:val="both"/>
      </w:pPr>
      <w:r>
        <w:t>Fue declarado sin lugar el recurso de hábeas corpus establecido a su favor por Manuel Vega Sancho, porque contra este el Alcalde de Goicoechea dictó auto de prisión y enjuiciamiento en el proceso que le sigue por el delito de hurto en daño de Virginia Sánchez Robles.</w:t>
      </w:r>
    </w:p>
    <w:sectPr w:rsidR="004B79AD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4B79AD"/>
    <w:rsid w:val="00033CB9"/>
    <w:rsid w:val="004B79AD"/>
    <w:rsid w:val="005556A8"/>
    <w:rsid w:val="00712C1C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2017-03-28T15:58:00Z</dcterms:created>
  <dcterms:modified xsi:type="dcterms:W3CDTF">2017-03-28T15:59:00Z</dcterms:modified>
</cp:coreProperties>
</file>