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73" w:rsidRDefault="00AF1D73" w:rsidP="00AF1D7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12</w:t>
      </w:r>
    </w:p>
    <w:p w:rsidR="00AF1D73" w:rsidRDefault="00AF1D73" w:rsidP="00AF1D73">
      <w:pPr>
        <w:ind w:firstLine="708"/>
        <w:jc w:val="both"/>
      </w:pPr>
      <w:r>
        <w:t xml:space="preserve">Sesión ordinaria de Corte Plena celebrada a las catorce horas del día </w:t>
      </w:r>
      <w:r w:rsidR="00B911D6">
        <w:t xml:space="preserve">seis </w:t>
      </w:r>
      <w:r>
        <w:t xml:space="preserve">de </w:t>
      </w:r>
      <w:r w:rsidR="00B911D6">
        <w:t xml:space="preserve">abril </w:t>
      </w:r>
      <w:r>
        <w:t xml:space="preserve">de mil novecientos sesenta y cuatro, con asistencia inicial de los señores Magistrados Baudrit, Presidente; Quirós, Ramírez, Calzada, Jacobo, </w:t>
      </w:r>
      <w:r w:rsidR="00B911D6">
        <w:t xml:space="preserve">Soto, </w:t>
      </w:r>
      <w:r>
        <w:t>Trejos,</w:t>
      </w:r>
      <w:r w:rsidR="00B911D6">
        <w:t xml:space="preserve"> Sanabria,</w:t>
      </w:r>
      <w:r>
        <w:t xml:space="preserve"> Fernández, Jiménez, </w:t>
      </w:r>
      <w:r w:rsidR="00B911D6">
        <w:t xml:space="preserve">Jugo </w:t>
      </w:r>
      <w:r>
        <w:t>y Coto.</w:t>
      </w:r>
    </w:p>
    <w:p w:rsidR="00AF1D73" w:rsidRDefault="00B911D6" w:rsidP="00AF1D73">
      <w:pPr>
        <w:jc w:val="center"/>
        <w:rPr>
          <w:b/>
        </w:rPr>
      </w:pPr>
      <w:r>
        <w:rPr>
          <w:b/>
        </w:rPr>
        <w:t>Artículo II</w:t>
      </w:r>
    </w:p>
    <w:p w:rsidR="00AF1D73" w:rsidRDefault="00B911D6" w:rsidP="00AF1D73">
      <w:pPr>
        <w:ind w:firstLine="708"/>
        <w:jc w:val="both"/>
      </w:pPr>
      <w:r>
        <w:t xml:space="preserve">Por estar en libertad las personas a favor de las cuales se recurre, se acordó archivar los siguientes recursos de hábeas corpus: el de Jesús Chaves Chavarría; el de Isaías Marchena Moraga a favor de Guillermo Fuentes Ortega; el del Licenciado Guillermo Ortiz Sequeira, a favor de Enrique Obando Martínez; el de William Araya </w:t>
      </w:r>
      <w:proofErr w:type="spellStart"/>
      <w:r>
        <w:t>Araya</w:t>
      </w:r>
      <w:proofErr w:type="spellEnd"/>
      <w:r>
        <w:t xml:space="preserve">; el de Margarita Paniagua Solís a favor de Jorge Mora Paniagua, Max Pastor López, Rodrigo y Víctor </w:t>
      </w:r>
      <w:proofErr w:type="spellStart"/>
      <w:r>
        <w:t>Lenis</w:t>
      </w:r>
      <w:proofErr w:type="spellEnd"/>
      <w:r>
        <w:t xml:space="preserve"> Chacón Vargas y Ricardo </w:t>
      </w:r>
      <w:r w:rsidR="00951F7D">
        <w:t>Chacón Salazar; y el de Eliécer Guzmán Arce, Álvaro Sánchez Jiménez y José Mora Rojas</w:t>
      </w:r>
      <w:r w:rsidR="00AF1D73">
        <w:t>.</w:t>
      </w:r>
    </w:p>
    <w:sectPr w:rsidR="00AF1D7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F1D73"/>
    <w:rsid w:val="00033CB9"/>
    <w:rsid w:val="00712C1C"/>
    <w:rsid w:val="00951F7D"/>
    <w:rsid w:val="00956078"/>
    <w:rsid w:val="00AF1D73"/>
    <w:rsid w:val="00B911D6"/>
    <w:rsid w:val="00D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2017-03-31T14:08:00Z</dcterms:created>
  <dcterms:modified xsi:type="dcterms:W3CDTF">2017-03-31T15:46:00Z</dcterms:modified>
</cp:coreProperties>
</file>