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AD" w:rsidRDefault="006D1CAD" w:rsidP="006D1CAD">
      <w:pPr>
        <w:jc w:val="center"/>
      </w:pPr>
      <w:r w:rsidRPr="0064456C">
        <w:rPr>
          <w:b/>
        </w:rPr>
        <w:t xml:space="preserve">N° </w:t>
      </w:r>
      <w:r>
        <w:rPr>
          <w:b/>
        </w:rPr>
        <w:t>3</w:t>
      </w:r>
    </w:p>
    <w:p w:rsidR="006D1CAD" w:rsidRDefault="006D1CAD" w:rsidP="006D1CAD">
      <w:pPr>
        <w:ind w:firstLine="708"/>
        <w:jc w:val="both"/>
      </w:pPr>
      <w:r>
        <w:t>Sesión de Corte Interina celebrada a las catorce horas del catorce de febrero de mil novecientos sesenta y seis, con asistencia de los señores Magistrados Acosta, Presidente; Fernández y Coto.</w:t>
      </w:r>
    </w:p>
    <w:p w:rsidR="006D1CAD" w:rsidRDefault="006D1CAD" w:rsidP="006D1CAD">
      <w:pPr>
        <w:jc w:val="center"/>
        <w:rPr>
          <w:b/>
        </w:rPr>
      </w:pPr>
      <w:r>
        <w:rPr>
          <w:b/>
        </w:rPr>
        <w:t>Artículo III</w:t>
      </w:r>
    </w:p>
    <w:p w:rsidR="006D1CAD" w:rsidRDefault="006D1CAD" w:rsidP="006D1CAD">
      <w:pPr>
        <w:ind w:firstLine="708"/>
        <w:jc w:val="both"/>
      </w:pPr>
      <w:r>
        <w:t xml:space="preserve">También se acordó archivar el recurso de hábeas corpus presentado por Gustavo Ramón Pinel Córdoba a favor de Faustino Carranza Mora, por no estarse propiamente en un caso de hábeas corpus, desde que lo que se combate en el recurso es una sentencia condenatoria. </w:t>
      </w:r>
    </w:p>
    <w:sectPr w:rsidR="006D1CA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D1CAD"/>
    <w:rsid w:val="00033CB9"/>
    <w:rsid w:val="003111FC"/>
    <w:rsid w:val="006D1CAD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2017-04-26T15:16:00Z</dcterms:created>
  <dcterms:modified xsi:type="dcterms:W3CDTF">2017-04-26T15:24:00Z</dcterms:modified>
</cp:coreProperties>
</file>