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E" w:rsidRDefault="004E32CE" w:rsidP="004E32C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4E32CE" w:rsidRDefault="004E32CE" w:rsidP="004E32CE">
      <w:pPr>
        <w:ind w:firstLine="708"/>
        <w:jc w:val="both"/>
      </w:pPr>
      <w:r>
        <w:t>Sesión de Corte Interina, celebrada a las catorce horas del seis de febrero de mil novecientos sesenta y siete, con asistencia de los señores Magistrados Baudrit, Presidente; Quirós y Trejos.</w:t>
      </w:r>
    </w:p>
    <w:p w:rsidR="004E32CE" w:rsidRDefault="004E32CE" w:rsidP="004E32CE">
      <w:pPr>
        <w:jc w:val="center"/>
        <w:rPr>
          <w:b/>
        </w:rPr>
      </w:pPr>
      <w:r>
        <w:rPr>
          <w:b/>
        </w:rPr>
        <w:t>Artículo II</w:t>
      </w:r>
    </w:p>
    <w:p w:rsidR="004E32CE" w:rsidRDefault="004E32CE" w:rsidP="004E32CE">
      <w:pPr>
        <w:ind w:firstLine="708"/>
        <w:jc w:val="both"/>
      </w:pPr>
      <w:r>
        <w:t>Fueron declarados sin lugar los recursos de hábeas corpus establecidos a su favor por Hugo Navarro Céspedes y Carlos Chaves Marín, porque su reclusión obedece a los autos de prisión y enjuiciamiento dictado contra el primero y de detención provisional, decretado contra el segundo, en los procesos seguidos por el Juez Primero Penal, por el delito de merodeo y por el Alcalde de Escazú, por el de robo, respectivamente.</w:t>
      </w:r>
    </w:p>
    <w:sectPr w:rsidR="004E32C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E32CE"/>
    <w:rsid w:val="00033CB9"/>
    <w:rsid w:val="004E32CE"/>
    <w:rsid w:val="00712C1C"/>
    <w:rsid w:val="00956078"/>
    <w:rsid w:val="00B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2017-05-08T14:04:00Z</dcterms:created>
  <dcterms:modified xsi:type="dcterms:W3CDTF">2017-05-08T14:11:00Z</dcterms:modified>
</cp:coreProperties>
</file>