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E8" w:rsidRDefault="005306E8" w:rsidP="005306E8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</w:t>
      </w:r>
    </w:p>
    <w:p w:rsidR="005306E8" w:rsidRDefault="005306E8" w:rsidP="005306E8">
      <w:pPr>
        <w:ind w:firstLine="708"/>
        <w:jc w:val="both"/>
      </w:pPr>
      <w:r>
        <w:t>Sesión de Corte Interina, celebrada a las catorce horas del seis de febrero de mil novecientos sesenta y siete, con asistencia de los señores Magistrados Baudrit, Presidente; Quirós y Trejos.</w:t>
      </w:r>
    </w:p>
    <w:p w:rsidR="005306E8" w:rsidRDefault="005306E8" w:rsidP="005306E8">
      <w:pPr>
        <w:jc w:val="center"/>
        <w:rPr>
          <w:b/>
        </w:rPr>
      </w:pPr>
      <w:r>
        <w:rPr>
          <w:b/>
        </w:rPr>
        <w:t>Artículo V</w:t>
      </w:r>
    </w:p>
    <w:p w:rsidR="005306E8" w:rsidRDefault="005306E8" w:rsidP="005306E8">
      <w:pPr>
        <w:ind w:firstLine="708"/>
        <w:jc w:val="both"/>
      </w:pPr>
      <w:r>
        <w:t xml:space="preserve">Visto el recurso de hábeas corpus establecido a su favor por Juan Vicente </w:t>
      </w:r>
      <w:proofErr w:type="spellStart"/>
      <w:r>
        <w:t>Cantillano</w:t>
      </w:r>
      <w:proofErr w:type="spellEnd"/>
      <w:r>
        <w:t xml:space="preserve"> León y Juan Bernardo Ulloa Calderón, se dispuso archivarlo en cuanto al primero por estar en libertad y declararlo sin lugar, respecto del segundo, porque su reclusión obedece a la sentencia condenatoria dictada por el Agente Primero Judicial de Policía de San José, en las diligencias seguidas por la falta de vagancia.</w:t>
      </w:r>
    </w:p>
    <w:sectPr w:rsidR="005306E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306E8"/>
    <w:rsid w:val="00033CB9"/>
    <w:rsid w:val="005306E8"/>
    <w:rsid w:val="00712C1C"/>
    <w:rsid w:val="00956078"/>
    <w:rsid w:val="00BF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2017-05-08T14:51:00Z</dcterms:created>
  <dcterms:modified xsi:type="dcterms:W3CDTF">2017-05-08T14:55:00Z</dcterms:modified>
</cp:coreProperties>
</file>