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0E" w:rsidRDefault="00B97B0E" w:rsidP="00B97B0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11</w:t>
      </w:r>
    </w:p>
    <w:p w:rsidR="00B97B0E" w:rsidRDefault="00B97B0E" w:rsidP="00B97B0E">
      <w:pPr>
        <w:ind w:firstLine="708"/>
        <w:jc w:val="both"/>
      </w:pPr>
      <w:r>
        <w:t>Sesión ordinaria de Corte Plena celebrada a las catorce horas del día tres de abril de mil novecientos sesenta y siete, con asistencia inicial de los señores Magistrados Baudrit, Presidente; Quirós, Ramírez, Calzada, Jacobo, Jiménez, Coto, Bejarano, Soto, Fernández, Jugo, Trejos y Odio.</w:t>
      </w:r>
    </w:p>
    <w:p w:rsidR="00B97B0E" w:rsidRDefault="00B97B0E" w:rsidP="00B97B0E">
      <w:pPr>
        <w:jc w:val="center"/>
        <w:rPr>
          <w:b/>
        </w:rPr>
      </w:pPr>
      <w:r>
        <w:rPr>
          <w:b/>
        </w:rPr>
        <w:t>Artículo II</w:t>
      </w:r>
    </w:p>
    <w:p w:rsidR="00956078" w:rsidRDefault="00B97B0E" w:rsidP="00B97B0E">
      <w:pPr>
        <w:ind w:firstLine="708"/>
        <w:jc w:val="both"/>
      </w:pPr>
      <w:r>
        <w:t xml:space="preserve">Se dispuso archivar el recurso de hábeas corpus establecido por A. Thompson a favor de Ricardo Thompson </w:t>
      </w:r>
      <w:proofErr w:type="spellStart"/>
      <w:r>
        <w:t>Fenell</w:t>
      </w:r>
      <w:proofErr w:type="spellEnd"/>
      <w:r w:rsidR="00415904">
        <w:t>, por encontrarse este en libertad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97B0E"/>
    <w:rsid w:val="00033CB9"/>
    <w:rsid w:val="002E76E9"/>
    <w:rsid w:val="00415904"/>
    <w:rsid w:val="00712C1C"/>
    <w:rsid w:val="00956078"/>
    <w:rsid w:val="00B9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2017-05-10T13:54:00Z</dcterms:created>
  <dcterms:modified xsi:type="dcterms:W3CDTF">2017-05-10T14:04:00Z</dcterms:modified>
</cp:coreProperties>
</file>