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72" w:rsidRDefault="007F1D72" w:rsidP="007F1D72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34</w:t>
      </w:r>
    </w:p>
    <w:p w:rsidR="007F1D72" w:rsidRDefault="007F1D72" w:rsidP="007F1D72">
      <w:pPr>
        <w:ind w:firstLine="708"/>
        <w:jc w:val="both"/>
      </w:pPr>
      <w:r>
        <w:t>Sesión ordinaria de Corte Plena celebrada a las catorce horas del día veintiséis de junio de mil novecientos sesenta y siete, con asistencia inicial de los señores Magistrados Baudrit, Presidente; Quirós, Calzada, Coto, Jacobo, Jiménez, Retana, Bejarano, Soto, Fernández, Trejos, Odio y Porter.</w:t>
      </w:r>
    </w:p>
    <w:p w:rsidR="007F1D72" w:rsidRDefault="007F1D72" w:rsidP="007F1D72">
      <w:pPr>
        <w:jc w:val="center"/>
        <w:rPr>
          <w:b/>
        </w:rPr>
      </w:pPr>
      <w:r>
        <w:rPr>
          <w:b/>
        </w:rPr>
        <w:t>Artículo IV</w:t>
      </w:r>
    </w:p>
    <w:p w:rsidR="007F1D72" w:rsidRDefault="007F1D72" w:rsidP="007F1D72">
      <w:pPr>
        <w:ind w:firstLine="708"/>
        <w:jc w:val="both"/>
      </w:pPr>
      <w:r>
        <w:t>Fueron declarados sin lugar los recursos de hábeas corpus establecidos en su favor por Ricardo Chavarría Ledezma o Chavarría Delgado, José Luis Valverde Mesén y Carlos Vindas Pérez, porque la privación de libertad de que se quejan tiene base en los autos de detención dictados contra los dos primeros, y a la sentencia condenatoria firme dictada contra el tercero. Esas resoluciones fueron dictadas por el Agente Segundo Judicial de Policía de San José, por el Alcalde de Aserrí y por el Jefe Político de San Carlos, en los procesos seguidos contra Chavarría, por la falta de vagancia; contra Valverde Mesén, en la sumaria que se instruye por el delito de hurto en daño de José Monge Castro, y contra Vindas Pérez, por la falta de policía de portación de arma prohibida.</w:t>
      </w:r>
    </w:p>
    <w:sectPr w:rsidR="007F1D7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F1D72"/>
    <w:rsid w:val="00033CB9"/>
    <w:rsid w:val="000621F6"/>
    <w:rsid w:val="00712C1C"/>
    <w:rsid w:val="007F1D72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2017-05-15T19:49:00Z</dcterms:created>
  <dcterms:modified xsi:type="dcterms:W3CDTF">2017-05-15T20:29:00Z</dcterms:modified>
</cp:coreProperties>
</file>