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F" w:rsidRDefault="00F2568F" w:rsidP="00F2568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F2568F" w:rsidRDefault="00F2568F" w:rsidP="00F2568F">
      <w:pPr>
        <w:ind w:firstLine="708"/>
        <w:jc w:val="both"/>
      </w:pPr>
      <w:r>
        <w:t>Sesión de Corte Interina, celebrada a las catorce horas del doce de febrero de mil novecientos sesenta y ocho, con asistencia de los señores Magistrados Soto, Presidente; Odio y Retana.</w:t>
      </w:r>
    </w:p>
    <w:p w:rsidR="00F2568F" w:rsidRDefault="00F2568F" w:rsidP="00F2568F">
      <w:pPr>
        <w:jc w:val="center"/>
        <w:rPr>
          <w:b/>
        </w:rPr>
      </w:pPr>
      <w:r>
        <w:rPr>
          <w:b/>
        </w:rPr>
        <w:t>Artículo III</w:t>
      </w:r>
    </w:p>
    <w:p w:rsidR="00F2568F" w:rsidRDefault="00F2568F" w:rsidP="00F2568F">
      <w:pPr>
        <w:ind w:firstLine="708"/>
        <w:jc w:val="both"/>
      </w:pPr>
      <w:r>
        <w:t>Fueron declarados sin lugar los recursos de hábeas corpus promovidos por Misael Herrera Alfaro y Victorino Rivera Castillo, en favor de ellos mismos, porque la privación de su libertad tiene apoyo en los autos de detención provisional dictados por el Alcalde de Goicoechea y el Jefe Político de ese mismo cantón, contra Herrera Alfaro por hurto en daño de Carlos Gilá Borrasé y contra Rivera Castillo por la falta de policía de merodeo en perjuicio de Edwin Gamboa Araya.</w:t>
      </w:r>
    </w:p>
    <w:sectPr w:rsidR="00F2568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2568F"/>
    <w:rsid w:val="00033CB9"/>
    <w:rsid w:val="003B1463"/>
    <w:rsid w:val="00712C1C"/>
    <w:rsid w:val="00956078"/>
    <w:rsid w:val="00F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2017-05-17T17:03:00Z</dcterms:created>
  <dcterms:modified xsi:type="dcterms:W3CDTF">2017-05-17T17:06:00Z</dcterms:modified>
</cp:coreProperties>
</file>