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F40" w:rsidRDefault="00427F40" w:rsidP="00427F40">
      <w:pPr>
        <w:jc w:val="center"/>
      </w:pPr>
      <w:r>
        <w:rPr>
          <w:b/>
        </w:rPr>
        <w:t>N° 1</w:t>
      </w:r>
    </w:p>
    <w:p w:rsidR="00427F40" w:rsidRDefault="00427F40" w:rsidP="00427F40">
      <w:pPr>
        <w:ind w:firstLine="708"/>
        <w:jc w:val="both"/>
      </w:pPr>
      <w:r>
        <w:t>Sesión de Corte Interina celebrada a las catorce horas del tres de febrero de mil novecientos sesenta y nueve, con asistencia inicial de los señores Magistrados Volio, Presidente; Valverde y Retana.</w:t>
      </w:r>
    </w:p>
    <w:p w:rsidR="00427F40" w:rsidRDefault="00427F40" w:rsidP="00427F40">
      <w:pPr>
        <w:jc w:val="center"/>
        <w:rPr>
          <w:b/>
        </w:rPr>
      </w:pPr>
      <w:r>
        <w:rPr>
          <w:b/>
        </w:rPr>
        <w:t>Artículo I</w:t>
      </w:r>
    </w:p>
    <w:p w:rsidR="00427F40" w:rsidRDefault="00427F40" w:rsidP="00427F40">
      <w:pPr>
        <w:ind w:firstLine="708"/>
        <w:jc w:val="both"/>
      </w:pPr>
      <w:r>
        <w:t>Por constar de los informes de las autoridades correspondientes que Guillermo Calderón Chacón, Mabel Sánchez Solís y Sigifredo Loría Víquez, se encuentran en libertad, se dispuso archivar los recursos de hábeas corpus establecidos por Rafael Armando Calderón Chacón en favor de Guillermo Calderón; por Alfonso Guido Vargas en favor de Mabel Sánchez y por Sigifredo Loría Víquez en su favor.</w:t>
      </w:r>
    </w:p>
    <w:sectPr w:rsidR="00427F40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427F40"/>
    <w:rsid w:val="00033CB9"/>
    <w:rsid w:val="00427F40"/>
    <w:rsid w:val="00712C1C"/>
    <w:rsid w:val="00956078"/>
    <w:rsid w:val="00BC3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F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513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2017-05-24T21:09:00Z</dcterms:created>
  <dcterms:modified xsi:type="dcterms:W3CDTF">2017-05-24T21:17:00Z</dcterms:modified>
</cp:coreProperties>
</file>