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Ind w:w="232" w:type="dxa"/>
        <w:tblCellMar>
          <w:left w:w="0" w:type="dxa"/>
          <w:right w:w="0" w:type="dxa"/>
        </w:tblCellMar>
        <w:tblLook w:val="04A0"/>
      </w:tblPr>
      <w:tblGrid>
        <w:gridCol w:w="1861"/>
        <w:gridCol w:w="464"/>
        <w:gridCol w:w="2413"/>
        <w:gridCol w:w="2447"/>
        <w:gridCol w:w="1923"/>
      </w:tblGrid>
      <w:tr w:rsidR="00A22682" w:rsidTr="00A22682"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82" w:rsidRDefault="00A22682">
            <w:pPr>
              <w:spacing w:after="20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82" w:rsidRDefault="00A22682">
            <w:pPr>
              <w:spacing w:after="200"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de enero de 1973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22682" w:rsidRDefault="00A22682">
            <w:pPr>
              <w:spacing w:after="200" w:line="256" w:lineRule="auto"/>
              <w:ind w:left="1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22682" w:rsidRDefault="00A22682">
            <w:pPr>
              <w:spacing w:after="200" w:line="256" w:lineRule="auto"/>
              <w:ind w:left="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22682" w:rsidTr="00A22682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82" w:rsidRDefault="00A22682">
            <w:pPr>
              <w:spacing w:after="20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A22682" w:rsidTr="00A22682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82" w:rsidRDefault="00A22682" w:rsidP="00A22682">
            <w:pPr>
              <w:spacing w:after="20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Moisés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Bogarín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Quesada </w:t>
            </w:r>
          </w:p>
        </w:tc>
      </w:tr>
      <w:tr w:rsidR="00A22682" w:rsidTr="00A22682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82" w:rsidRDefault="00A22682" w:rsidP="00A22682">
            <w:pPr>
              <w:spacing w:before="100" w:after="100"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Recurrido: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Juez Penal de Hacienda, Alcalde Segundo Penal</w:t>
            </w:r>
          </w:p>
        </w:tc>
      </w:tr>
      <w:tr w:rsidR="00A22682" w:rsidTr="00A22682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82" w:rsidRDefault="00A22682" w:rsidP="00A22682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El recurrente alega que se le mantiene detenido desde el 2 de noviembre de 1972, sin motivo aparente y sin estar a la orden de autoridad alguna. </w:t>
            </w:r>
          </w:p>
        </w:tc>
      </w:tr>
      <w:tr w:rsidR="00A22682" w:rsidTr="00A22682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82" w:rsidRDefault="00A22682" w:rsidP="00A2268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El Juez Penal de Hacienda asegura que el hecho imputado al recurrente no es de su competencia, pese a lo cual se detuvo a este sin mediar orden suya. El Alcalde Segundo Penal indica que ordenó la libertad del recurrente en diciembre de 1972.</w:t>
            </w:r>
          </w:p>
        </w:tc>
      </w:tr>
      <w:tr w:rsidR="00A22682" w:rsidTr="00A22682">
        <w:tc>
          <w:tcPr>
            <w:tcW w:w="23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82" w:rsidRDefault="00A22682">
            <w:pPr>
              <w:spacing w:after="20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82" w:rsidRDefault="00A22682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Archivado (recurrente libre).</w:t>
            </w:r>
          </w:p>
        </w:tc>
      </w:tr>
    </w:tbl>
    <w:p w:rsidR="00A22682" w:rsidRDefault="00A22682" w:rsidP="00A22682"/>
    <w:p w:rsidR="002B6078" w:rsidRDefault="002B6078" w:rsidP="002B6078"/>
    <w:p w:rsidR="002B6078" w:rsidRDefault="002B6078" w:rsidP="002B6078">
      <w:pPr>
        <w:spacing w:line="42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N° 1</w:t>
      </w:r>
    </w:p>
    <w:p w:rsidR="002B6078" w:rsidRDefault="002B6078" w:rsidP="002B6078">
      <w:pPr>
        <w:spacing w:line="420" w:lineRule="atLeast"/>
        <w:jc w:val="both"/>
        <w:rPr>
          <w:b/>
          <w:bCs/>
          <w:color w:val="000000"/>
          <w:sz w:val="28"/>
          <w:szCs w:val="28"/>
        </w:rPr>
      </w:pPr>
    </w:p>
    <w:p w:rsidR="002B6078" w:rsidRDefault="002B6078" w:rsidP="002B6078">
      <w:pPr>
        <w:spacing w:line="420" w:lineRule="atLeast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SESIÓN ORDINARIA DE LA CORTE PLENA celebrada a las trece horas y treinta minutos del día dos de enero de mil novecientos setenta y tres,</w:t>
      </w:r>
      <w:r>
        <w:rPr>
          <w:bCs/>
          <w:color w:val="000000"/>
          <w:sz w:val="28"/>
          <w:szCs w:val="28"/>
        </w:rPr>
        <w:t xml:space="preserve"> con asistencia inicial de los Magistrados Baudrit (Presidente), Quirós, Coto, </w:t>
      </w:r>
      <w:r w:rsidR="0080701A">
        <w:rPr>
          <w:bCs/>
          <w:color w:val="000000"/>
          <w:sz w:val="28"/>
          <w:szCs w:val="28"/>
        </w:rPr>
        <w:t>Arroyo</w:t>
      </w:r>
      <w:r>
        <w:rPr>
          <w:bCs/>
          <w:color w:val="000000"/>
          <w:sz w:val="28"/>
          <w:szCs w:val="28"/>
        </w:rPr>
        <w:t>, Retana, Jacobo, Vallejo, Cervantes, Bejarano, Blanco, Odio, Valverde, Zabaleta, Trejos y Benavides.</w:t>
      </w:r>
    </w:p>
    <w:p w:rsidR="002B6078" w:rsidRDefault="002B6078" w:rsidP="002B6078">
      <w:pPr>
        <w:spacing w:line="360" w:lineRule="auto"/>
        <w:jc w:val="center"/>
        <w:rPr>
          <w:color w:val="000000"/>
          <w:sz w:val="28"/>
          <w:szCs w:val="28"/>
        </w:rPr>
      </w:pPr>
    </w:p>
    <w:p w:rsidR="00BC4A29" w:rsidRDefault="00BC4A29" w:rsidP="00BC4A29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Artículo</w:t>
      </w:r>
      <w:r w:rsidR="00681505">
        <w:rPr>
          <w:b/>
          <w:color w:val="000000"/>
          <w:sz w:val="28"/>
          <w:szCs w:val="28"/>
        </w:rPr>
        <w:t xml:space="preserve"> III</w:t>
      </w:r>
    </w:p>
    <w:p w:rsidR="002B6078" w:rsidRDefault="002B6078" w:rsidP="00A22682">
      <w:pPr>
        <w:spacing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 dio cuenta del recurso de habeas corpus </w:t>
      </w:r>
      <w:r w:rsidR="004B7E06">
        <w:rPr>
          <w:color w:val="000000"/>
          <w:sz w:val="28"/>
          <w:szCs w:val="28"/>
        </w:rPr>
        <w:t>promovido</w:t>
      </w:r>
      <w:r>
        <w:rPr>
          <w:color w:val="000000"/>
          <w:sz w:val="28"/>
          <w:szCs w:val="28"/>
        </w:rPr>
        <w:t xml:space="preserve"> a su favor por </w:t>
      </w:r>
      <w:r w:rsidR="004B7E06" w:rsidRPr="00A22682">
        <w:rPr>
          <w:b/>
          <w:caps/>
          <w:color w:val="000000"/>
          <w:sz w:val="28"/>
          <w:szCs w:val="28"/>
        </w:rPr>
        <w:t>Moisés</w:t>
      </w:r>
      <w:r w:rsidR="00A22682" w:rsidRPr="00A22682">
        <w:rPr>
          <w:b/>
          <w:caps/>
          <w:color w:val="000000"/>
          <w:sz w:val="28"/>
          <w:szCs w:val="28"/>
        </w:rPr>
        <w:t xml:space="preserve"> </w:t>
      </w:r>
      <w:r w:rsidR="004B7E06" w:rsidRPr="00A22682">
        <w:rPr>
          <w:b/>
          <w:caps/>
          <w:color w:val="000000"/>
          <w:sz w:val="28"/>
          <w:szCs w:val="28"/>
        </w:rPr>
        <w:t>Bogarín</w:t>
      </w:r>
      <w:r w:rsidRPr="00A22682">
        <w:rPr>
          <w:b/>
          <w:caps/>
          <w:color w:val="000000"/>
          <w:sz w:val="28"/>
          <w:szCs w:val="28"/>
        </w:rPr>
        <w:t xml:space="preserve"> </w:t>
      </w:r>
      <w:r w:rsidR="00A22682" w:rsidRPr="00A22682">
        <w:rPr>
          <w:b/>
          <w:caps/>
          <w:color w:val="000000"/>
          <w:sz w:val="28"/>
          <w:szCs w:val="28"/>
        </w:rPr>
        <w:t>Qu</w:t>
      </w:r>
      <w:r w:rsidRPr="00A22682">
        <w:rPr>
          <w:b/>
          <w:caps/>
          <w:color w:val="000000"/>
          <w:sz w:val="28"/>
          <w:szCs w:val="28"/>
        </w:rPr>
        <w:t>esada</w:t>
      </w:r>
      <w:r>
        <w:rPr>
          <w:color w:val="000000"/>
          <w:sz w:val="28"/>
          <w:szCs w:val="28"/>
        </w:rPr>
        <w:t xml:space="preserve">, quien se queja estar detenido desde el dos de noviembre </w:t>
      </w:r>
      <w:r w:rsidR="004B7E06">
        <w:rPr>
          <w:color w:val="000000"/>
          <w:sz w:val="28"/>
          <w:szCs w:val="28"/>
        </w:rPr>
        <w:t>últ</w:t>
      </w:r>
      <w:bookmarkStart w:id="0" w:name="_GoBack"/>
      <w:bookmarkEnd w:id="0"/>
      <w:r w:rsidR="004B7E06">
        <w:rPr>
          <w:color w:val="000000"/>
          <w:sz w:val="28"/>
          <w:szCs w:val="28"/>
        </w:rPr>
        <w:t>imo</w:t>
      </w:r>
      <w:r>
        <w:rPr>
          <w:color w:val="000000"/>
          <w:sz w:val="28"/>
          <w:szCs w:val="28"/>
        </w:rPr>
        <w:t xml:space="preserve">, en la Penitenciaria </w:t>
      </w:r>
      <w:r w:rsidR="004B7E06">
        <w:rPr>
          <w:color w:val="000000"/>
          <w:sz w:val="28"/>
          <w:szCs w:val="28"/>
        </w:rPr>
        <w:t>Central</w:t>
      </w:r>
      <w:r>
        <w:rPr>
          <w:color w:val="000000"/>
          <w:sz w:val="28"/>
          <w:szCs w:val="28"/>
        </w:rPr>
        <w:t xml:space="preserve">. Solicitando que fue el informe respectivo al señor Juez Penal de </w:t>
      </w:r>
      <w:r w:rsidR="004B7E06">
        <w:rPr>
          <w:color w:val="000000"/>
          <w:sz w:val="28"/>
          <w:szCs w:val="28"/>
        </w:rPr>
        <w:t>Hacienda</w:t>
      </w:r>
      <w:r>
        <w:rPr>
          <w:color w:val="000000"/>
          <w:sz w:val="28"/>
          <w:szCs w:val="28"/>
        </w:rPr>
        <w:t xml:space="preserve">, este refiere que el seis del mes citado recibió una sumaria contra el recurrente, que se tramitaba en la </w:t>
      </w:r>
      <w:r w:rsidR="004B7E06">
        <w:rPr>
          <w:color w:val="000000"/>
          <w:sz w:val="28"/>
          <w:szCs w:val="28"/>
        </w:rPr>
        <w:t>Alcaldía</w:t>
      </w:r>
      <w:r>
        <w:rPr>
          <w:color w:val="000000"/>
          <w:sz w:val="28"/>
          <w:szCs w:val="28"/>
        </w:rPr>
        <w:t xml:space="preserve"> Segunda Penal de esta </w:t>
      </w:r>
      <w:r w:rsidR="004B7E06">
        <w:rPr>
          <w:color w:val="000000"/>
          <w:sz w:val="28"/>
          <w:szCs w:val="28"/>
        </w:rPr>
        <w:t>capital; pero</w:t>
      </w:r>
      <w:r>
        <w:rPr>
          <w:color w:val="000000"/>
          <w:sz w:val="28"/>
          <w:szCs w:val="28"/>
        </w:rPr>
        <w:t xml:space="preserve"> que habiendo con</w:t>
      </w:r>
      <w:r w:rsidR="004B7E06">
        <w:rPr>
          <w:color w:val="000000"/>
          <w:sz w:val="28"/>
          <w:szCs w:val="28"/>
        </w:rPr>
        <w:t>siderado que el conocimiento de</w:t>
      </w:r>
      <w:r>
        <w:rPr>
          <w:color w:val="000000"/>
          <w:sz w:val="28"/>
          <w:szCs w:val="28"/>
        </w:rPr>
        <w:t xml:space="preserve"> los hechos delictuosos denunciados correspondía investigarlos al </w:t>
      </w:r>
      <w:r w:rsidR="004B7E06">
        <w:rPr>
          <w:color w:val="000000"/>
          <w:sz w:val="28"/>
          <w:szCs w:val="28"/>
        </w:rPr>
        <w:t>Alcalde</w:t>
      </w:r>
      <w:r>
        <w:rPr>
          <w:color w:val="000000"/>
          <w:sz w:val="28"/>
          <w:szCs w:val="28"/>
        </w:rPr>
        <w:t xml:space="preserve"> citado, por resolución de propio </w:t>
      </w:r>
      <w:r w:rsidR="004B7E06">
        <w:rPr>
          <w:color w:val="000000"/>
          <w:sz w:val="28"/>
          <w:szCs w:val="28"/>
        </w:rPr>
        <w:t>día seis, ordenó</w:t>
      </w:r>
      <w:r w:rsidR="00A22682">
        <w:rPr>
          <w:color w:val="000000"/>
          <w:sz w:val="28"/>
          <w:szCs w:val="28"/>
        </w:rPr>
        <w:t xml:space="preserve"> </w:t>
      </w:r>
      <w:r w:rsidR="004B7E06">
        <w:rPr>
          <w:color w:val="000000"/>
          <w:sz w:val="28"/>
          <w:szCs w:val="28"/>
        </w:rPr>
        <w:t>remitir</w:t>
      </w:r>
      <w:r>
        <w:rPr>
          <w:color w:val="000000"/>
          <w:sz w:val="28"/>
          <w:szCs w:val="28"/>
        </w:rPr>
        <w:t xml:space="preserve"> de inmediato el </w:t>
      </w:r>
      <w:r w:rsidR="004B7E06">
        <w:rPr>
          <w:color w:val="000000"/>
          <w:sz w:val="28"/>
          <w:szCs w:val="28"/>
        </w:rPr>
        <w:t>expediente</w:t>
      </w:r>
      <w:r>
        <w:rPr>
          <w:color w:val="000000"/>
          <w:sz w:val="28"/>
          <w:szCs w:val="28"/>
        </w:rPr>
        <w:t xml:space="preserve"> al señor </w:t>
      </w:r>
      <w:r w:rsidR="004B7E06">
        <w:rPr>
          <w:color w:val="000000"/>
          <w:sz w:val="28"/>
          <w:szCs w:val="28"/>
        </w:rPr>
        <w:t>Alcalde</w:t>
      </w:r>
      <w:r>
        <w:rPr>
          <w:color w:val="000000"/>
          <w:sz w:val="28"/>
          <w:szCs w:val="28"/>
        </w:rPr>
        <w:t xml:space="preserve">. Que el </w:t>
      </w:r>
      <w:r w:rsidR="004B7E06">
        <w:rPr>
          <w:color w:val="000000"/>
          <w:sz w:val="28"/>
          <w:szCs w:val="28"/>
        </w:rPr>
        <w:t>día</w:t>
      </w:r>
      <w:r>
        <w:rPr>
          <w:color w:val="000000"/>
          <w:sz w:val="28"/>
          <w:szCs w:val="28"/>
        </w:rPr>
        <w:t xml:space="preserve"> trece de </w:t>
      </w:r>
      <w:r>
        <w:rPr>
          <w:color w:val="000000"/>
          <w:sz w:val="28"/>
          <w:szCs w:val="28"/>
        </w:rPr>
        <w:lastRenderedPageBreak/>
        <w:t xml:space="preserve">diciembre </w:t>
      </w:r>
      <w:r w:rsidR="004B7E06">
        <w:rPr>
          <w:color w:val="000000"/>
          <w:sz w:val="28"/>
          <w:szCs w:val="28"/>
        </w:rPr>
        <w:t>último</w:t>
      </w:r>
      <w:r>
        <w:rPr>
          <w:color w:val="000000"/>
          <w:sz w:val="28"/>
          <w:szCs w:val="28"/>
        </w:rPr>
        <w:t xml:space="preserve"> inexplicablemente se </w:t>
      </w:r>
      <w:r w:rsidR="004B7E06">
        <w:rPr>
          <w:color w:val="000000"/>
          <w:sz w:val="28"/>
          <w:szCs w:val="28"/>
        </w:rPr>
        <w:t>enteró</w:t>
      </w:r>
      <w:r>
        <w:rPr>
          <w:color w:val="000000"/>
          <w:sz w:val="28"/>
          <w:szCs w:val="28"/>
        </w:rPr>
        <w:t xml:space="preserve"> que </w:t>
      </w:r>
      <w:r w:rsidR="004B7E06">
        <w:rPr>
          <w:color w:val="000000"/>
          <w:sz w:val="28"/>
          <w:szCs w:val="28"/>
        </w:rPr>
        <w:t>Bogarín</w:t>
      </w:r>
      <w:r>
        <w:rPr>
          <w:color w:val="000000"/>
          <w:sz w:val="28"/>
          <w:szCs w:val="28"/>
        </w:rPr>
        <w:t xml:space="preserve"> Quesada se encontraba detenido en dicho centro penal, a la orden del Juez Penal de Hacienda, </w:t>
      </w:r>
      <w:r w:rsidR="004B7E06">
        <w:rPr>
          <w:color w:val="000000"/>
          <w:sz w:val="28"/>
          <w:szCs w:val="28"/>
        </w:rPr>
        <w:t>más</w:t>
      </w:r>
      <w:r>
        <w:rPr>
          <w:color w:val="000000"/>
          <w:sz w:val="28"/>
          <w:szCs w:val="28"/>
        </w:rPr>
        <w:t xml:space="preserve"> en razón de ello </w:t>
      </w:r>
      <w:r w:rsidR="004B7E06">
        <w:rPr>
          <w:color w:val="000000"/>
          <w:sz w:val="28"/>
          <w:szCs w:val="28"/>
        </w:rPr>
        <w:t>remitió</w:t>
      </w:r>
      <w:r>
        <w:rPr>
          <w:color w:val="000000"/>
          <w:sz w:val="28"/>
          <w:szCs w:val="28"/>
        </w:rPr>
        <w:t xml:space="preserve"> oficio al señor Director de la </w:t>
      </w:r>
      <w:r w:rsidR="004B7E06">
        <w:rPr>
          <w:color w:val="000000"/>
          <w:sz w:val="28"/>
          <w:szCs w:val="28"/>
        </w:rPr>
        <w:t xml:space="preserve">Penitenciaría </w:t>
      </w:r>
      <w:r>
        <w:rPr>
          <w:color w:val="000000"/>
          <w:sz w:val="28"/>
          <w:szCs w:val="28"/>
        </w:rPr>
        <w:t xml:space="preserve">para que se sirviera tener la orden de la </w:t>
      </w:r>
      <w:r w:rsidR="004B7E06">
        <w:rPr>
          <w:color w:val="000000"/>
          <w:sz w:val="28"/>
          <w:szCs w:val="28"/>
        </w:rPr>
        <w:t>Alcaldía</w:t>
      </w:r>
      <w:r>
        <w:rPr>
          <w:color w:val="000000"/>
          <w:sz w:val="28"/>
          <w:szCs w:val="28"/>
        </w:rPr>
        <w:t xml:space="preserve"> Segunda al indicado; que además </w:t>
      </w:r>
      <w:r w:rsidR="004B7E06">
        <w:rPr>
          <w:color w:val="000000"/>
          <w:sz w:val="28"/>
          <w:szCs w:val="28"/>
        </w:rPr>
        <w:t>ignoró</w:t>
      </w:r>
      <w:r>
        <w:rPr>
          <w:color w:val="000000"/>
          <w:sz w:val="28"/>
          <w:szCs w:val="28"/>
        </w:rPr>
        <w:t xml:space="preserve"> que el recurrente hubiera sido puesto en orden, y mucho menos </w:t>
      </w:r>
      <w:r w:rsidR="004B7E06">
        <w:rPr>
          <w:color w:val="000000"/>
          <w:sz w:val="28"/>
          <w:szCs w:val="28"/>
        </w:rPr>
        <w:t>así</w:t>
      </w:r>
      <w:r>
        <w:rPr>
          <w:color w:val="000000"/>
          <w:sz w:val="28"/>
          <w:szCs w:val="28"/>
        </w:rPr>
        <w:t xml:space="preserve"> consta del </w:t>
      </w:r>
      <w:r w:rsidR="004B7E06">
        <w:rPr>
          <w:color w:val="000000"/>
          <w:sz w:val="28"/>
          <w:szCs w:val="28"/>
        </w:rPr>
        <w:t>expediente</w:t>
      </w:r>
      <w:r>
        <w:rPr>
          <w:color w:val="000000"/>
          <w:sz w:val="28"/>
          <w:szCs w:val="28"/>
        </w:rPr>
        <w:t xml:space="preserve"> respectivo, </w:t>
      </w:r>
      <w:r w:rsidR="004B7E06">
        <w:rPr>
          <w:color w:val="000000"/>
          <w:sz w:val="28"/>
          <w:szCs w:val="28"/>
        </w:rPr>
        <w:t>así</w:t>
      </w:r>
      <w:r>
        <w:rPr>
          <w:color w:val="000000"/>
          <w:sz w:val="28"/>
          <w:szCs w:val="28"/>
        </w:rPr>
        <w:t xml:space="preserve"> las cosas, se </w:t>
      </w:r>
      <w:r w:rsidR="004B7E06">
        <w:rPr>
          <w:color w:val="000000"/>
          <w:sz w:val="28"/>
          <w:szCs w:val="28"/>
        </w:rPr>
        <w:t>solicitó</w:t>
      </w:r>
      <w:r w:rsidR="00A22682">
        <w:rPr>
          <w:color w:val="000000"/>
          <w:sz w:val="28"/>
          <w:szCs w:val="28"/>
        </w:rPr>
        <w:t xml:space="preserve"> </w:t>
      </w:r>
      <w:r w:rsidR="00C402F8">
        <w:rPr>
          <w:color w:val="000000"/>
          <w:sz w:val="28"/>
          <w:szCs w:val="28"/>
        </w:rPr>
        <w:t>informe al señor Alca</w:t>
      </w:r>
      <w:r w:rsidR="004B7E06">
        <w:rPr>
          <w:color w:val="000000"/>
          <w:sz w:val="28"/>
          <w:szCs w:val="28"/>
        </w:rPr>
        <w:t>lde Segundo Penal, quien expresó</w:t>
      </w:r>
      <w:r w:rsidR="00C402F8">
        <w:rPr>
          <w:color w:val="000000"/>
          <w:sz w:val="28"/>
          <w:szCs w:val="28"/>
        </w:rPr>
        <w:t>, con fecha</w:t>
      </w:r>
      <w:r w:rsidR="004B7E06">
        <w:rPr>
          <w:color w:val="000000"/>
          <w:sz w:val="28"/>
          <w:szCs w:val="28"/>
        </w:rPr>
        <w:t xml:space="preserve"> veintidós </w:t>
      </w:r>
      <w:r w:rsidR="00C402F8">
        <w:rPr>
          <w:color w:val="000000"/>
          <w:sz w:val="28"/>
          <w:szCs w:val="28"/>
        </w:rPr>
        <w:t xml:space="preserve">del citado mes de diciembre, que contra </w:t>
      </w:r>
      <w:r w:rsidR="004B7E06">
        <w:rPr>
          <w:color w:val="000000"/>
          <w:sz w:val="28"/>
          <w:szCs w:val="28"/>
        </w:rPr>
        <w:t xml:space="preserve">Bogarín </w:t>
      </w:r>
      <w:r w:rsidR="00C402F8">
        <w:rPr>
          <w:color w:val="000000"/>
          <w:sz w:val="28"/>
          <w:szCs w:val="28"/>
        </w:rPr>
        <w:t xml:space="preserve">instruye proceso por estafa en prejuicio de </w:t>
      </w:r>
      <w:r w:rsidR="004B7E06">
        <w:rPr>
          <w:color w:val="000000"/>
          <w:sz w:val="28"/>
          <w:szCs w:val="28"/>
        </w:rPr>
        <w:t>Héctor</w:t>
      </w:r>
      <w:r w:rsidR="00C402F8">
        <w:rPr>
          <w:color w:val="000000"/>
          <w:sz w:val="28"/>
          <w:szCs w:val="28"/>
        </w:rPr>
        <w:t xml:space="preserve"> Zamora Araya, la cual inicio el seis de noviembre </w:t>
      </w:r>
      <w:r w:rsidR="004B7E06">
        <w:rPr>
          <w:color w:val="000000"/>
          <w:sz w:val="28"/>
          <w:szCs w:val="28"/>
        </w:rPr>
        <w:t>último</w:t>
      </w:r>
      <w:r w:rsidR="00C402F8">
        <w:rPr>
          <w:color w:val="000000"/>
          <w:sz w:val="28"/>
          <w:szCs w:val="28"/>
        </w:rPr>
        <w:t xml:space="preserve">, pero </w:t>
      </w:r>
      <w:r w:rsidR="004B7E06">
        <w:rPr>
          <w:color w:val="000000"/>
          <w:sz w:val="28"/>
          <w:szCs w:val="28"/>
        </w:rPr>
        <w:t>q</w:t>
      </w:r>
      <w:r w:rsidR="00C402F8">
        <w:rPr>
          <w:color w:val="000000"/>
          <w:sz w:val="28"/>
          <w:szCs w:val="28"/>
        </w:rPr>
        <w:t>ue luego de</w:t>
      </w:r>
      <w:r w:rsidR="004B7E06">
        <w:rPr>
          <w:color w:val="000000"/>
          <w:sz w:val="28"/>
          <w:szCs w:val="28"/>
        </w:rPr>
        <w:t xml:space="preserve"> recibirle la indagatoria ordenó</w:t>
      </w:r>
      <w:r w:rsidR="00C402F8">
        <w:rPr>
          <w:color w:val="000000"/>
          <w:sz w:val="28"/>
          <w:szCs w:val="28"/>
        </w:rPr>
        <w:t xml:space="preserve"> su libertad por considerar que no había </w:t>
      </w:r>
      <w:r w:rsidR="004B7E06">
        <w:rPr>
          <w:color w:val="000000"/>
          <w:sz w:val="28"/>
          <w:szCs w:val="28"/>
        </w:rPr>
        <w:t>mérito</w:t>
      </w:r>
      <w:r w:rsidR="00C402F8">
        <w:rPr>
          <w:color w:val="000000"/>
          <w:sz w:val="28"/>
          <w:szCs w:val="28"/>
        </w:rPr>
        <w:t xml:space="preserve"> para decretar su detención provisional, hecho este que el propio </w:t>
      </w:r>
      <w:proofErr w:type="spellStart"/>
      <w:r w:rsidR="004B7E06">
        <w:rPr>
          <w:color w:val="000000"/>
          <w:sz w:val="28"/>
          <w:szCs w:val="28"/>
        </w:rPr>
        <w:t>Bogarín</w:t>
      </w:r>
      <w:proofErr w:type="spellEnd"/>
      <w:r w:rsidR="00A22682">
        <w:rPr>
          <w:color w:val="000000"/>
          <w:sz w:val="28"/>
          <w:szCs w:val="28"/>
        </w:rPr>
        <w:t xml:space="preserve"> </w:t>
      </w:r>
      <w:r w:rsidR="004B7E06">
        <w:rPr>
          <w:color w:val="000000"/>
          <w:sz w:val="28"/>
          <w:szCs w:val="28"/>
        </w:rPr>
        <w:t>reconoció</w:t>
      </w:r>
      <w:r w:rsidR="00C402F8">
        <w:rPr>
          <w:color w:val="000000"/>
          <w:sz w:val="28"/>
          <w:szCs w:val="28"/>
        </w:rPr>
        <w:t xml:space="preserve"> en su escrito de folio 14, dirigido al señor Juez Penal de Hacienda. La Secretaria de la Corte solicito un informe sobre el particular al señor Director de la </w:t>
      </w:r>
      <w:r w:rsidR="004B7E06">
        <w:rPr>
          <w:color w:val="000000"/>
          <w:sz w:val="28"/>
          <w:szCs w:val="28"/>
        </w:rPr>
        <w:t>Penitenciaría</w:t>
      </w:r>
      <w:r w:rsidR="00C402F8">
        <w:rPr>
          <w:color w:val="000000"/>
          <w:sz w:val="28"/>
          <w:szCs w:val="28"/>
        </w:rPr>
        <w:t xml:space="preserve"> Central, quien en concreto refiere: “</w:t>
      </w:r>
      <w:r w:rsidR="00C402F8" w:rsidRPr="00A22682">
        <w:rPr>
          <w:i/>
          <w:color w:val="000000"/>
          <w:sz w:val="28"/>
          <w:szCs w:val="28"/>
        </w:rPr>
        <w:t>Mediante boleta</w:t>
      </w:r>
      <w:r w:rsidR="00C402F8">
        <w:rPr>
          <w:color w:val="000000"/>
          <w:sz w:val="28"/>
          <w:szCs w:val="28"/>
        </w:rPr>
        <w:t>…”.</w:t>
      </w:r>
    </w:p>
    <w:p w:rsidR="00C402F8" w:rsidRDefault="00C402F8" w:rsidP="00A22682">
      <w:pPr>
        <w:spacing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Es de advertir que el recurrente, </w:t>
      </w:r>
      <w:r w:rsidR="004B7E06">
        <w:rPr>
          <w:color w:val="000000"/>
          <w:sz w:val="28"/>
          <w:szCs w:val="28"/>
        </w:rPr>
        <w:t>Bogarín</w:t>
      </w:r>
      <w:r>
        <w:rPr>
          <w:color w:val="000000"/>
          <w:sz w:val="28"/>
          <w:szCs w:val="28"/>
        </w:rPr>
        <w:t xml:space="preserve"> Quesada, fue puesto en libertad el </w:t>
      </w:r>
      <w:r w:rsidR="00A207C3">
        <w:rPr>
          <w:color w:val="000000"/>
          <w:sz w:val="28"/>
          <w:szCs w:val="28"/>
        </w:rPr>
        <w:t>día</w:t>
      </w:r>
      <w:r>
        <w:rPr>
          <w:color w:val="000000"/>
          <w:sz w:val="28"/>
          <w:szCs w:val="28"/>
        </w:rPr>
        <w:t xml:space="preserve"> veintidós de diciembre a las dieciséis horas, con vista de la nota del señor Alcalde Segundo Penal, que </w:t>
      </w:r>
      <w:r w:rsidR="00A207C3">
        <w:rPr>
          <w:color w:val="000000"/>
          <w:sz w:val="28"/>
          <w:szCs w:val="28"/>
        </w:rPr>
        <w:t>así</w:t>
      </w:r>
      <w:r>
        <w:rPr>
          <w:color w:val="000000"/>
          <w:sz w:val="28"/>
          <w:szCs w:val="28"/>
        </w:rPr>
        <w:t xml:space="preserve"> lo dispuso. Previa la deliberación correspondiente, se acordó archivar el recurso, y que la Inspección Judicial levante una información sobre lo ocurrido en el caso.</w:t>
      </w:r>
    </w:p>
    <w:p w:rsidR="002B6078" w:rsidRDefault="002B6078" w:rsidP="00A22682">
      <w:pPr>
        <w:spacing w:line="360" w:lineRule="auto"/>
        <w:jc w:val="both"/>
        <w:rPr>
          <w:color w:val="000000"/>
          <w:sz w:val="28"/>
          <w:szCs w:val="28"/>
        </w:rPr>
      </w:pPr>
    </w:p>
    <w:p w:rsidR="002C3459" w:rsidRDefault="00A22682"/>
    <w:sectPr w:rsidR="002C3459" w:rsidSect="00025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2B6078"/>
    <w:rsid w:val="00025F57"/>
    <w:rsid w:val="002B6078"/>
    <w:rsid w:val="004B7E06"/>
    <w:rsid w:val="00681505"/>
    <w:rsid w:val="006C7E31"/>
    <w:rsid w:val="0080701A"/>
    <w:rsid w:val="00A207C3"/>
    <w:rsid w:val="00A22682"/>
    <w:rsid w:val="00B361DF"/>
    <w:rsid w:val="00BC4A29"/>
    <w:rsid w:val="00C402F8"/>
    <w:rsid w:val="00F8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Guevara Rivas</dc:creator>
  <cp:keywords/>
  <dc:description/>
  <cp:lastModifiedBy>rbeers</cp:lastModifiedBy>
  <cp:revision>6</cp:revision>
  <dcterms:created xsi:type="dcterms:W3CDTF">2017-06-15T19:21:00Z</dcterms:created>
  <dcterms:modified xsi:type="dcterms:W3CDTF">2017-06-21T19:35:00Z</dcterms:modified>
</cp:coreProperties>
</file>