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4A0"/>
      </w:tblPr>
      <w:tblGrid>
        <w:gridCol w:w="1861"/>
        <w:gridCol w:w="464"/>
        <w:gridCol w:w="2413"/>
        <w:gridCol w:w="2447"/>
        <w:gridCol w:w="1923"/>
      </w:tblGrid>
      <w:tr w:rsidR="00033DFF" w:rsidTr="00163AED">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163AED">
            <w:pPr>
              <w:spacing w:after="200" w:line="254" w:lineRule="auto"/>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33DFF" w:rsidRDefault="00033DFF" w:rsidP="00163AED">
            <w:pPr>
              <w:spacing w:after="200" w:line="254" w:lineRule="auto"/>
              <w:rPr>
                <w:rFonts w:ascii="Arial" w:hAnsi="Arial" w:cs="Arial"/>
                <w:bCs/>
                <w:color w:val="000000"/>
                <w:sz w:val="20"/>
                <w:szCs w:val="20"/>
              </w:rPr>
            </w:pPr>
            <w:r>
              <w:rPr>
                <w:rFonts w:ascii="Arial" w:hAnsi="Arial" w:cs="Arial"/>
                <w:bCs/>
                <w:color w:val="000000"/>
                <w:sz w:val="20"/>
                <w:szCs w:val="20"/>
              </w:rPr>
              <w:t>25 de marzo de 1974</w:t>
            </w:r>
          </w:p>
        </w:tc>
        <w:tc>
          <w:tcPr>
            <w:tcW w:w="2447" w:type="dxa"/>
            <w:tcBorders>
              <w:top w:val="single" w:sz="8" w:space="0" w:color="000000"/>
              <w:left w:val="single" w:sz="8" w:space="0" w:color="auto"/>
              <w:bottom w:val="single" w:sz="8" w:space="0" w:color="000000"/>
              <w:right w:val="single" w:sz="8" w:space="0" w:color="auto"/>
            </w:tcBorders>
            <w:hideMark/>
          </w:tcPr>
          <w:p w:rsidR="00033DFF" w:rsidRDefault="00033DFF" w:rsidP="00163AED">
            <w:pPr>
              <w:spacing w:after="200" w:line="254" w:lineRule="auto"/>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hideMark/>
          </w:tcPr>
          <w:p w:rsidR="00033DFF" w:rsidRDefault="00033DFF" w:rsidP="00033DFF">
            <w:pPr>
              <w:spacing w:after="200" w:line="254" w:lineRule="auto"/>
              <w:ind w:left="62"/>
              <w:rPr>
                <w:rFonts w:ascii="Arial" w:hAnsi="Arial" w:cs="Arial"/>
                <w:bCs/>
                <w:color w:val="000000"/>
                <w:sz w:val="20"/>
                <w:szCs w:val="20"/>
              </w:rPr>
            </w:pPr>
            <w:r>
              <w:rPr>
                <w:rFonts w:ascii="Arial" w:hAnsi="Arial" w:cs="Arial"/>
                <w:bCs/>
                <w:color w:val="000000"/>
                <w:sz w:val="20"/>
                <w:szCs w:val="20"/>
              </w:rPr>
              <w:t>11</w:t>
            </w:r>
          </w:p>
        </w:tc>
      </w:tr>
      <w:tr w:rsidR="00033DFF" w:rsidTr="00163AED">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163AED">
            <w:pPr>
              <w:spacing w:after="200" w:line="254" w:lineRule="auto"/>
              <w:rPr>
                <w:rFonts w:ascii="Arial" w:hAnsi="Arial" w:cs="Arial"/>
                <w:color w:val="000000"/>
                <w:sz w:val="20"/>
                <w:szCs w:val="20"/>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033DFF" w:rsidTr="00163AED">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033DFF">
            <w:pPr>
              <w:spacing w:after="200" w:line="254" w:lineRule="auto"/>
              <w:rPr>
                <w:rFonts w:ascii="Arial" w:hAnsi="Arial" w:cs="Arial"/>
                <w:b/>
                <w:bCs/>
                <w:color w:val="000000"/>
                <w:sz w:val="20"/>
                <w:szCs w:val="20"/>
              </w:rPr>
            </w:pPr>
            <w:r>
              <w:rPr>
                <w:rFonts w:ascii="Arial" w:hAnsi="Arial" w:cs="Arial"/>
                <w:b/>
                <w:bCs/>
                <w:color w:val="000000"/>
                <w:sz w:val="20"/>
                <w:szCs w:val="20"/>
              </w:rPr>
              <w:t>Recurrentes</w:t>
            </w:r>
            <w:r>
              <w:rPr>
                <w:rFonts w:ascii="Arial" w:hAnsi="Arial" w:cs="Arial"/>
                <w:color w:val="000000"/>
                <w:sz w:val="20"/>
                <w:szCs w:val="20"/>
              </w:rPr>
              <w:t xml:space="preserve">: </w:t>
            </w:r>
            <w:r>
              <w:rPr>
                <w:rFonts w:ascii="Arial" w:hAnsi="Arial" w:cs="Arial"/>
                <w:bCs/>
                <w:color w:val="000000"/>
                <w:sz w:val="20"/>
                <w:szCs w:val="20"/>
              </w:rPr>
              <w:t xml:space="preserve">Lloyd Cummings, Isidro Chacón Quirós, </w:t>
            </w:r>
            <w:proofErr w:type="spellStart"/>
            <w:r>
              <w:rPr>
                <w:rFonts w:ascii="Arial" w:hAnsi="Arial" w:cs="Arial"/>
                <w:bCs/>
                <w:color w:val="000000"/>
                <w:sz w:val="20"/>
                <w:szCs w:val="20"/>
              </w:rPr>
              <w:t>Minor</w:t>
            </w:r>
            <w:proofErr w:type="spellEnd"/>
            <w:r>
              <w:rPr>
                <w:rFonts w:ascii="Arial" w:hAnsi="Arial" w:cs="Arial"/>
                <w:bCs/>
                <w:color w:val="000000"/>
                <w:sz w:val="20"/>
                <w:szCs w:val="20"/>
              </w:rPr>
              <w:t xml:space="preserve"> Araya </w:t>
            </w:r>
            <w:proofErr w:type="spellStart"/>
            <w:r>
              <w:rPr>
                <w:rFonts w:ascii="Arial" w:hAnsi="Arial" w:cs="Arial"/>
                <w:bCs/>
                <w:color w:val="000000"/>
                <w:sz w:val="20"/>
                <w:szCs w:val="20"/>
              </w:rPr>
              <w:t>Araya</w:t>
            </w:r>
            <w:proofErr w:type="spellEnd"/>
          </w:p>
        </w:tc>
      </w:tr>
      <w:tr w:rsidR="00033DFF" w:rsidTr="00163AED">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033DFF">
            <w:pPr>
              <w:spacing w:before="100" w:after="100" w:line="254" w:lineRule="auto"/>
              <w:jc w:val="both"/>
              <w:rPr>
                <w:rFonts w:ascii="Arial" w:hAnsi="Arial" w:cs="Arial"/>
                <w:bCs/>
                <w:color w:val="000000"/>
                <w:sz w:val="20"/>
                <w:szCs w:val="20"/>
              </w:rPr>
            </w:pPr>
            <w:r>
              <w:rPr>
                <w:rFonts w:ascii="Arial" w:hAnsi="Arial" w:cs="Arial"/>
                <w:b/>
                <w:bCs/>
                <w:color w:val="000000"/>
                <w:sz w:val="20"/>
                <w:szCs w:val="20"/>
              </w:rPr>
              <w:t>Recurridos:</w:t>
            </w:r>
            <w:r>
              <w:rPr>
                <w:rFonts w:ascii="Arial" w:hAnsi="Arial" w:cs="Arial"/>
                <w:bCs/>
                <w:color w:val="000000"/>
                <w:sz w:val="20"/>
                <w:szCs w:val="20"/>
              </w:rPr>
              <w:t xml:space="preserve"> Alcalde Segundo de Limón, Alcalde de Santa Ana</w:t>
            </w:r>
          </w:p>
        </w:tc>
      </w:tr>
      <w:tr w:rsidR="00033DFF" w:rsidTr="00163AED">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033DFF">
            <w:pPr>
              <w:spacing w:line="254" w:lineRule="auto"/>
              <w:jc w:val="both"/>
              <w:rPr>
                <w:rFonts w:ascii="Arial" w:hAnsi="Arial" w:cs="Arial"/>
                <w:color w:val="000000"/>
                <w:sz w:val="20"/>
                <w:szCs w:val="20"/>
              </w:rPr>
            </w:pPr>
            <w:r>
              <w:rPr>
                <w:rFonts w:ascii="Arial" w:hAnsi="Arial" w:cs="Arial"/>
                <w:b/>
                <w:bCs/>
                <w:color w:val="000000"/>
                <w:sz w:val="20"/>
                <w:szCs w:val="20"/>
              </w:rPr>
              <w:t>Objeto de los recursos</w:t>
            </w:r>
            <w:r>
              <w:rPr>
                <w:rFonts w:ascii="Arial" w:hAnsi="Arial" w:cs="Arial"/>
                <w:color w:val="000000"/>
                <w:sz w:val="20"/>
                <w:szCs w:val="20"/>
              </w:rPr>
              <w:t xml:space="preserve">: Los recurrentes impugnan su detención </w:t>
            </w:r>
          </w:p>
        </w:tc>
      </w:tr>
      <w:tr w:rsidR="00033DFF" w:rsidTr="00163AED">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Pr="00B22029" w:rsidRDefault="00033DFF" w:rsidP="00033DFF">
            <w:pPr>
              <w:spacing w:line="254" w:lineRule="auto"/>
              <w:jc w:val="both"/>
              <w:rPr>
                <w:rFonts w:ascii="Arial" w:hAnsi="Arial" w:cs="Arial"/>
                <w:bCs/>
                <w:color w:val="000000"/>
                <w:sz w:val="20"/>
                <w:szCs w:val="20"/>
              </w:rPr>
            </w:pPr>
            <w:r>
              <w:rPr>
                <w:rFonts w:ascii="Arial" w:hAnsi="Arial" w:cs="Arial"/>
                <w:b/>
                <w:bCs/>
                <w:color w:val="000000"/>
                <w:sz w:val="20"/>
                <w:szCs w:val="20"/>
              </w:rPr>
              <w:t>Respuesta de los recurridos:</w:t>
            </w:r>
            <w:r>
              <w:rPr>
                <w:rFonts w:ascii="Arial" w:hAnsi="Arial" w:cs="Arial"/>
                <w:bCs/>
                <w:color w:val="000000"/>
                <w:sz w:val="20"/>
                <w:szCs w:val="20"/>
              </w:rPr>
              <w:t xml:space="preserve"> Contra los recurrentes hay auto de detención por amenazas con arma de fuego, hurto o robo, y homicidio.</w:t>
            </w:r>
          </w:p>
        </w:tc>
      </w:tr>
      <w:tr w:rsidR="00033DFF" w:rsidTr="00163AED">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3DFF" w:rsidRDefault="00033DFF" w:rsidP="00163AED">
            <w:pPr>
              <w:spacing w:after="200" w:line="254" w:lineRule="auto"/>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33DFF" w:rsidRDefault="00033DFF" w:rsidP="00033DFF">
            <w:pPr>
              <w:spacing w:line="254" w:lineRule="auto"/>
              <w:jc w:val="both"/>
              <w:rPr>
                <w:rFonts w:ascii="Arial" w:hAnsi="Arial" w:cs="Arial"/>
                <w:color w:val="000000"/>
                <w:sz w:val="20"/>
                <w:szCs w:val="20"/>
              </w:rPr>
            </w:pPr>
            <w:r>
              <w:rPr>
                <w:rFonts w:ascii="Arial" w:hAnsi="Arial" w:cs="Arial"/>
                <w:color w:val="000000"/>
                <w:sz w:val="20"/>
                <w:szCs w:val="20"/>
              </w:rPr>
              <w:t>Sin lugar (detención justificada).</w:t>
            </w:r>
          </w:p>
        </w:tc>
      </w:tr>
    </w:tbl>
    <w:p w:rsidR="00033DFF" w:rsidRDefault="00033DFF" w:rsidP="00033DFF"/>
    <w:p w:rsidR="008A3146" w:rsidRPr="00EB5A3B" w:rsidRDefault="008A3146" w:rsidP="008A3146">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11</w:t>
      </w:r>
    </w:p>
    <w:p w:rsidR="008A3146" w:rsidRPr="00EB5A3B" w:rsidRDefault="008A3146" w:rsidP="008A3146">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8A3146" w:rsidRPr="00EB5A3B" w:rsidRDefault="008A3146" w:rsidP="008A3146">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veinticinco de marzo</w:t>
      </w:r>
      <w:r w:rsidRPr="00EB5A3B">
        <w:rPr>
          <w:rFonts w:ascii="Times New Roman" w:eastAsia="Times New Roman" w:hAnsi="Times New Roman" w:cs="Times New Roman"/>
          <w:b/>
          <w:sz w:val="28"/>
          <w:szCs w:val="28"/>
          <w:lang w:eastAsia="es-ES"/>
        </w:rPr>
        <w:t xml:space="preserve"> de mil novecientos setenta y cuatro</w:t>
      </w:r>
      <w:r w:rsidRPr="00EB5A3B">
        <w:rPr>
          <w:rFonts w:ascii="Times New Roman" w:eastAsia="Times New Roman" w:hAnsi="Times New Roman" w:cs="Times New Roman"/>
          <w:sz w:val="28"/>
          <w:szCs w:val="28"/>
          <w:lang w:eastAsia="es-ES"/>
        </w:rPr>
        <w:t xml:space="preserve">, con asistencia inicial de los señores Magistrados </w:t>
      </w:r>
      <w:proofErr w:type="spellStart"/>
      <w:r w:rsidRPr="00EB5A3B">
        <w:rPr>
          <w:rFonts w:ascii="Times New Roman" w:eastAsia="Times New Roman" w:hAnsi="Times New Roman" w:cs="Times New Roman"/>
          <w:sz w:val="28"/>
          <w:szCs w:val="28"/>
          <w:lang w:eastAsia="es-ES"/>
        </w:rPr>
        <w:t>Baudrit</w:t>
      </w:r>
      <w:proofErr w:type="spellEnd"/>
      <w:r>
        <w:rPr>
          <w:rFonts w:ascii="Times New Roman" w:eastAsia="Times New Roman" w:hAnsi="Times New Roman" w:cs="Times New Roman"/>
          <w:sz w:val="28"/>
          <w:szCs w:val="28"/>
          <w:lang w:eastAsia="es-ES"/>
        </w:rPr>
        <w:t>, (Presidente); Quirós, Coto, Arroyo, Retana, Jacobo, Vallejo, Cervantes, Odio, Zavaleta, Chavarría, Trejos y Benavides.</w:t>
      </w:r>
    </w:p>
    <w:p w:rsidR="008A3146" w:rsidRPr="00EB5A3B" w:rsidRDefault="008A3146" w:rsidP="008A3146">
      <w:pPr>
        <w:spacing w:after="0" w:line="360" w:lineRule="auto"/>
        <w:jc w:val="both"/>
        <w:rPr>
          <w:rFonts w:ascii="Times New Roman" w:eastAsia="Times New Roman" w:hAnsi="Times New Roman" w:cs="Times New Roman"/>
          <w:sz w:val="28"/>
          <w:szCs w:val="28"/>
          <w:lang w:eastAsia="es-ES"/>
        </w:rPr>
      </w:pPr>
    </w:p>
    <w:p w:rsidR="008A3146" w:rsidRDefault="008A3146" w:rsidP="008A3146">
      <w:pPr>
        <w:spacing w:after="0" w:line="360" w:lineRule="auto"/>
        <w:rPr>
          <w:rFonts w:ascii="Times New Roman" w:eastAsia="Times New Roman" w:hAnsi="Times New Roman" w:cs="Times New Roman"/>
          <w:b/>
          <w:sz w:val="28"/>
          <w:szCs w:val="28"/>
          <w:lang w:eastAsia="es-ES"/>
        </w:rPr>
      </w:pPr>
    </w:p>
    <w:p w:rsidR="008A3146" w:rsidRDefault="008A3146" w:rsidP="008A3146">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8A3146" w:rsidRDefault="008A3146" w:rsidP="008A3146">
      <w:pPr>
        <w:spacing w:line="360" w:lineRule="auto"/>
        <w:jc w:val="center"/>
        <w:rPr>
          <w:rFonts w:ascii="Times New Roman" w:eastAsia="Times New Roman" w:hAnsi="Times New Roman" w:cs="Times New Roman"/>
          <w:b/>
          <w:sz w:val="28"/>
          <w:szCs w:val="28"/>
          <w:lang w:eastAsia="es-ES"/>
        </w:rPr>
      </w:pPr>
    </w:p>
    <w:p w:rsidR="008A3146" w:rsidRPr="008A3146" w:rsidRDefault="008A3146" w:rsidP="008A314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declararon sin lugar los recursos de hábeas corpus de </w:t>
      </w:r>
      <w:r>
        <w:rPr>
          <w:rFonts w:ascii="Times New Roman" w:eastAsia="Times New Roman" w:hAnsi="Times New Roman" w:cs="Times New Roman"/>
          <w:b/>
          <w:sz w:val="28"/>
          <w:szCs w:val="28"/>
          <w:lang w:eastAsia="es-ES"/>
        </w:rPr>
        <w:t xml:space="preserve">LLOYD CUMMINGS, ISIDRO CHACÓN QUIRÓS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 xml:space="preserve">MINOR ARAYA </w:t>
      </w:r>
      <w:proofErr w:type="spellStart"/>
      <w:r>
        <w:rPr>
          <w:rFonts w:ascii="Times New Roman" w:eastAsia="Times New Roman" w:hAnsi="Times New Roman" w:cs="Times New Roman"/>
          <w:b/>
          <w:sz w:val="28"/>
          <w:szCs w:val="28"/>
          <w:lang w:eastAsia="es-ES"/>
        </w:rPr>
        <w:t>ARAYA</w:t>
      </w:r>
      <w:proofErr w:type="spellEnd"/>
      <w:r w:rsidR="00033DFF">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 xml:space="preserve">c.c. </w:t>
      </w:r>
      <w:r>
        <w:rPr>
          <w:rFonts w:ascii="Times New Roman" w:eastAsia="Times New Roman" w:hAnsi="Times New Roman" w:cs="Times New Roman"/>
          <w:b/>
          <w:sz w:val="28"/>
          <w:szCs w:val="28"/>
          <w:lang w:eastAsia="es-ES"/>
        </w:rPr>
        <w:t>ARAYA QUESADA</w:t>
      </w:r>
      <w:r>
        <w:rPr>
          <w:rFonts w:ascii="Times New Roman" w:eastAsia="Times New Roman" w:hAnsi="Times New Roman" w:cs="Times New Roman"/>
          <w:sz w:val="28"/>
          <w:szCs w:val="28"/>
          <w:lang w:eastAsia="es-ES"/>
        </w:rPr>
        <w:t xml:space="preserve">, por lo siguiente: contra el primero se decretó la detención provisional por el Alcalde Segundo de Limón, en sumaria que le sigue por amenazas con arma de fuego en perjuicio de Enrique Olivares Poveda; contra el segundo también existe detención provisional dictada por el Alcalde de Santa Ana, en sumaria que se le sigue por el delito de hurto o robo, </w:t>
      </w:r>
      <w:r>
        <w:rPr>
          <w:rFonts w:ascii="Times New Roman" w:eastAsia="Times New Roman" w:hAnsi="Times New Roman" w:cs="Times New Roman"/>
          <w:sz w:val="28"/>
          <w:szCs w:val="28"/>
          <w:lang w:eastAsia="es-ES"/>
        </w:rPr>
        <w:lastRenderedPageBreak/>
        <w:t xml:space="preserve">cometido en daño de Ligia Castro Porras y otro; y contra el último existe auto de prisión y enjuiciamiento firme, en causa por homicidio, asalto y robo cometido en daño de John Walter Johnson. </w:t>
      </w:r>
      <w:bookmarkStart w:id="0" w:name="_GoBack"/>
      <w:bookmarkEnd w:id="0"/>
    </w:p>
    <w:p w:rsidR="008A3146" w:rsidRDefault="008A3146" w:rsidP="008A3146">
      <w:pPr>
        <w:spacing w:line="360" w:lineRule="auto"/>
        <w:jc w:val="center"/>
        <w:rPr>
          <w:rFonts w:ascii="Times New Roman" w:eastAsia="Times New Roman" w:hAnsi="Times New Roman" w:cs="Times New Roman"/>
          <w:b/>
          <w:sz w:val="28"/>
          <w:szCs w:val="28"/>
          <w:lang w:eastAsia="es-ES"/>
        </w:rPr>
      </w:pPr>
    </w:p>
    <w:p w:rsidR="008A3146" w:rsidRPr="008A3146" w:rsidRDefault="008A3146" w:rsidP="008A3146">
      <w:pPr>
        <w:spacing w:line="360" w:lineRule="auto"/>
        <w:jc w:val="both"/>
        <w:rPr>
          <w:rFonts w:ascii="Times New Roman" w:eastAsia="Times New Roman" w:hAnsi="Times New Roman" w:cs="Times New Roman"/>
          <w:sz w:val="28"/>
          <w:szCs w:val="28"/>
          <w:lang w:eastAsia="es-ES"/>
        </w:rPr>
      </w:pPr>
    </w:p>
    <w:sectPr w:rsidR="008A3146" w:rsidRPr="008A3146" w:rsidSect="00394B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E767A"/>
    <w:rsid w:val="00033DFF"/>
    <w:rsid w:val="00394BF7"/>
    <w:rsid w:val="008A3146"/>
    <w:rsid w:val="00986840"/>
    <w:rsid w:val="00C62E06"/>
    <w:rsid w:val="00CE767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226</Words>
  <Characters>1246</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3</cp:revision>
  <dcterms:created xsi:type="dcterms:W3CDTF">2017-06-12T02:31:00Z</dcterms:created>
  <dcterms:modified xsi:type="dcterms:W3CDTF">2017-06-15T22:49:00Z</dcterms:modified>
</cp:coreProperties>
</file>