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985"/>
        <w:gridCol w:w="464"/>
        <w:gridCol w:w="2413"/>
        <w:gridCol w:w="2447"/>
        <w:gridCol w:w="1480"/>
      </w:tblGrid>
      <w:tr w:rsidR="005E0BFC" w:rsidTr="005E0BFC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BFC" w:rsidRDefault="005E0BFC">
            <w:pPr>
              <w:spacing w:after="20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28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BFC" w:rsidRDefault="005E0BFC">
            <w:pPr>
              <w:spacing w:after="200" w:line="252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 de marzo de 1976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E0BFC" w:rsidRDefault="005E0BFC">
            <w:pPr>
              <w:spacing w:after="200" w:line="252" w:lineRule="auto"/>
              <w:ind w:left="1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Sesión número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E0BFC" w:rsidRDefault="005E0BFC" w:rsidP="005E0BFC">
            <w:pPr>
              <w:spacing w:after="200" w:line="252" w:lineRule="auto"/>
              <w:ind w:left="6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5E0BFC" w:rsidTr="005E0BFC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BFC" w:rsidRDefault="005E0BFC">
            <w:pPr>
              <w:spacing w:after="200" w:line="25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Motivo: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Habeas Corpus</w:t>
            </w:r>
          </w:p>
        </w:tc>
      </w:tr>
      <w:tr w:rsidR="005E0BFC" w:rsidTr="005E0BFC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BFC" w:rsidRDefault="005E0BFC" w:rsidP="005E0BFC">
            <w:pPr>
              <w:spacing w:after="20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Recurrentes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5E0BFC">
              <w:rPr>
                <w:rFonts w:ascii="Arial" w:hAnsi="Arial" w:cs="Arial"/>
                <w:color w:val="000000"/>
                <w:sz w:val="20"/>
                <w:szCs w:val="20"/>
              </w:rPr>
              <w:t xml:space="preserve">Rubén Julio Cedeño Carmona, Dimas Gamboa Murillo, Luis </w:t>
            </w:r>
            <w:proofErr w:type="spellStart"/>
            <w:r w:rsidRPr="005E0BFC">
              <w:rPr>
                <w:rFonts w:ascii="Arial" w:hAnsi="Arial" w:cs="Arial"/>
                <w:color w:val="000000"/>
                <w:sz w:val="20"/>
                <w:szCs w:val="20"/>
              </w:rPr>
              <w:t>Tencio</w:t>
            </w:r>
            <w:proofErr w:type="spellEnd"/>
            <w:r w:rsidRPr="005E0BFC">
              <w:rPr>
                <w:rFonts w:ascii="Arial" w:hAnsi="Arial" w:cs="Arial"/>
                <w:color w:val="000000"/>
                <w:sz w:val="20"/>
                <w:szCs w:val="20"/>
              </w:rPr>
              <w:t xml:space="preserve"> Ramírez, Francisco Angulo Reyes, Dagoberto García Espinoza</w:t>
            </w:r>
          </w:p>
        </w:tc>
      </w:tr>
      <w:tr w:rsidR="005E0BFC" w:rsidTr="005E0BFC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BFC" w:rsidRDefault="005E0BFC" w:rsidP="005E0BFC">
            <w:pPr>
              <w:spacing w:before="100" w:after="100" w:line="252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Recurridos: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Alcalde de Esparza, Juez de Instrucción de Cartago, Juez Primero de Instrucción de Alajuela, Juez Penal de Puerto Cortés</w:t>
            </w:r>
          </w:p>
        </w:tc>
      </w:tr>
      <w:tr w:rsidR="005E0BFC" w:rsidTr="005E0BFC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BFC" w:rsidRDefault="005E0BFC" w:rsidP="005E0BFC">
            <w:pPr>
              <w:spacing w:line="252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Objeto del recurso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Cada recurrente impugna su detención. </w:t>
            </w:r>
          </w:p>
        </w:tc>
      </w:tr>
      <w:tr w:rsidR="005E0BFC" w:rsidTr="005E0BFC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BFC" w:rsidRDefault="005E0BFC" w:rsidP="005E0BFC">
            <w:pPr>
              <w:spacing w:line="252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Respuesta del recurrido: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Contra los recurrentes hay autos de detención por hurto agravado, tráfico de marihuana, robo agravado y homicidio calificado, lesiones, robo y tentativa de homicidio.</w:t>
            </w:r>
          </w:p>
        </w:tc>
      </w:tr>
      <w:tr w:rsidR="005E0BFC" w:rsidTr="005E0BFC">
        <w:tc>
          <w:tcPr>
            <w:tcW w:w="24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BFC" w:rsidRDefault="005E0BFC">
            <w:pPr>
              <w:spacing w:after="20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Parte dispositiva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BFC" w:rsidRDefault="005E0BFC">
            <w:pPr>
              <w:spacing w:line="252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Sin lugar (detención justificada).</w:t>
            </w:r>
          </w:p>
        </w:tc>
      </w:tr>
    </w:tbl>
    <w:p w:rsidR="005E0BFC" w:rsidRDefault="005E0BFC" w:rsidP="003C4D84">
      <w:pPr>
        <w:spacing w:after="0" w:line="4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</w:p>
    <w:p w:rsidR="003C4D84" w:rsidRPr="00EB5A3B" w:rsidRDefault="003C4D84" w:rsidP="003C4D84">
      <w:pPr>
        <w:spacing w:after="0" w:line="4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Nº 12</w:t>
      </w:r>
    </w:p>
    <w:p w:rsidR="003C4D84" w:rsidRPr="00EB5A3B" w:rsidRDefault="003C4D84" w:rsidP="003C4D84">
      <w:pPr>
        <w:tabs>
          <w:tab w:val="left" w:pos="36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 w:rsidRPr="00EB5A3B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ab/>
      </w:r>
    </w:p>
    <w:p w:rsidR="003C4D84" w:rsidRDefault="003C4D84" w:rsidP="003C4D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EB5A3B">
        <w:rPr>
          <w:rFonts w:ascii="Times New Roman" w:eastAsia="Times New Roman" w:hAnsi="Times New Roman" w:cs="Times New Roman"/>
          <w:b/>
          <w:caps/>
          <w:sz w:val="28"/>
          <w:szCs w:val="28"/>
          <w:lang w:eastAsia="es-ES"/>
        </w:rPr>
        <w:t>Sesión ORDINARIA de Corte Plena</w:t>
      </w:r>
      <w:r w:rsidRPr="00EB5A3B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celebrada a las trece horas y treinta minutos del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quince de marzo de mil novecientos setenta y seis</w:t>
      </w:r>
      <w:r w:rsidRPr="00EB5A3B">
        <w:rPr>
          <w:rFonts w:ascii="Times New Roman" w:eastAsia="Times New Roman" w:hAnsi="Times New Roman" w:cs="Times New Roman"/>
          <w:sz w:val="28"/>
          <w:szCs w:val="28"/>
          <w:lang w:eastAsia="es-ES"/>
        </w:rPr>
        <w:t>, con asistencia ini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cial de los señores Magistrados Coto, (Presidente); Quirós, Arroyo, Odio, Retana, Jacobo, Vallejo, Cervantes, Bejarano, Blanco, Fernández, Valverde, Zavaleta, Trejos, Porter y Benavides.</w:t>
      </w:r>
    </w:p>
    <w:p w:rsidR="003C4D84" w:rsidRDefault="003C4D84" w:rsidP="003C4D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3C4D84" w:rsidRDefault="003C4D84" w:rsidP="003C4D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3C4D84" w:rsidRDefault="003C4D84" w:rsidP="003C4D8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Artículo I</w:t>
      </w:r>
      <w:r w:rsidR="002144A5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I</w:t>
      </w:r>
    </w:p>
    <w:p w:rsidR="00C62E06" w:rsidRDefault="002144A5" w:rsidP="00EC3684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Fueron declarados sin lugar los recursos de hábeas corpus interpuestos a favor de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RUBÉN JULIO CEDEÑO CARMONA, DIMAS GAMBOA MURILLO, LUIS TENCIO RAMÍREZ, FRANCISCO ANGULO REYES, 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y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DAGOBERTO GARCÍA ESPINOZA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porque la privación de libertad tiene fundamento, en cuanto al primero, en detención provisional dictado por la Alcaldía de Esparza en causa por hurto agravado; en cuanto al segundo y tercero, en auto de detención provisional dictado por el Juzgado de 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lastRenderedPageBreak/>
        <w:t>Instrucción de Cartago, de la Unión por Ministerio de Ley en causa por tráfico de marihuana; respecto al cuarto, en auto de detención provisional dictado por el Juzgado Primero de Instrucción de Alajuela en causa por robo agravado y homicidio calificado, y finalmente respecto al último, en auto de detención provisional dictado por el Juzgado Penal de Puerto Cortés, en causa por lesiones, robo y tentativa de homicidio</w:t>
      </w:r>
      <w:bookmarkStart w:id="0" w:name="_GoBack"/>
      <w:bookmarkEnd w:id="0"/>
      <w:r w:rsidR="00EC3684">
        <w:rPr>
          <w:rFonts w:ascii="Times New Roman" w:eastAsia="Times New Roman" w:hAnsi="Times New Roman" w:cs="Times New Roman"/>
          <w:sz w:val="28"/>
          <w:szCs w:val="28"/>
          <w:lang w:eastAsia="es-ES"/>
        </w:rPr>
        <w:t>.</w:t>
      </w:r>
    </w:p>
    <w:sectPr w:rsidR="00C62E06" w:rsidSect="007C24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4B00A8"/>
    <w:rsid w:val="002144A5"/>
    <w:rsid w:val="003C4D84"/>
    <w:rsid w:val="004B00A8"/>
    <w:rsid w:val="005E0BFC"/>
    <w:rsid w:val="007C2424"/>
    <w:rsid w:val="00986840"/>
    <w:rsid w:val="00AA44D0"/>
    <w:rsid w:val="00C62E06"/>
    <w:rsid w:val="00EC3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D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Garro</dc:creator>
  <cp:keywords/>
  <dc:description/>
  <cp:lastModifiedBy>rbeers</cp:lastModifiedBy>
  <cp:revision>4</cp:revision>
  <dcterms:created xsi:type="dcterms:W3CDTF">2017-06-24T22:04:00Z</dcterms:created>
  <dcterms:modified xsi:type="dcterms:W3CDTF">2017-07-11T17:50:00Z</dcterms:modified>
</cp:coreProperties>
</file>