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Ind w:w="108" w:type="dxa"/>
        <w:tblCellMar>
          <w:left w:w="0" w:type="dxa"/>
          <w:right w:w="0" w:type="dxa"/>
        </w:tblCellMar>
        <w:tblLook w:val="04A0"/>
      </w:tblPr>
      <w:tblGrid>
        <w:gridCol w:w="1985"/>
        <w:gridCol w:w="464"/>
        <w:gridCol w:w="2413"/>
        <w:gridCol w:w="2447"/>
        <w:gridCol w:w="1480"/>
      </w:tblGrid>
      <w:tr w:rsidR="009B2354" w:rsidTr="009B2354">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2354" w:rsidRDefault="009B2354">
            <w:pPr>
              <w:spacing w:after="200" w:line="252" w:lineRule="auto"/>
              <w:rPr>
                <w:rFonts w:ascii="Arial" w:hAnsi="Arial" w:cs="Arial"/>
                <w:b/>
                <w:bCs/>
                <w:color w:val="000000"/>
                <w:sz w:val="20"/>
                <w:szCs w:val="20"/>
              </w:rPr>
            </w:pPr>
            <w:r>
              <w:rPr>
                <w:rFonts w:ascii="Arial" w:hAnsi="Arial" w:cs="Arial"/>
                <w:b/>
                <w:bCs/>
                <w:color w:val="000000"/>
                <w:sz w:val="20"/>
                <w:szCs w:val="20"/>
              </w:rPr>
              <w:t>Fecha</w:t>
            </w:r>
          </w:p>
        </w:tc>
        <w:tc>
          <w:tcPr>
            <w:tcW w:w="2877" w:type="dxa"/>
            <w:gridSpan w:val="2"/>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9B2354" w:rsidRDefault="009B2354" w:rsidP="009B2354">
            <w:pPr>
              <w:spacing w:after="200" w:line="252" w:lineRule="auto"/>
              <w:rPr>
                <w:rFonts w:ascii="Arial" w:hAnsi="Arial" w:cs="Arial"/>
                <w:bCs/>
                <w:color w:val="000000"/>
                <w:sz w:val="20"/>
                <w:szCs w:val="20"/>
              </w:rPr>
            </w:pPr>
            <w:r>
              <w:rPr>
                <w:rFonts w:ascii="Arial" w:hAnsi="Arial" w:cs="Arial"/>
                <w:bCs/>
                <w:color w:val="000000"/>
                <w:sz w:val="20"/>
                <w:szCs w:val="20"/>
              </w:rPr>
              <w:t>5 de abril de 1976</w:t>
            </w:r>
          </w:p>
        </w:tc>
        <w:tc>
          <w:tcPr>
            <w:tcW w:w="2447" w:type="dxa"/>
            <w:tcBorders>
              <w:top w:val="single" w:sz="8" w:space="0" w:color="000000"/>
              <w:left w:val="single" w:sz="8" w:space="0" w:color="auto"/>
              <w:bottom w:val="single" w:sz="8" w:space="0" w:color="000000"/>
              <w:right w:val="single" w:sz="8" w:space="0" w:color="auto"/>
            </w:tcBorders>
            <w:hideMark/>
          </w:tcPr>
          <w:p w:rsidR="009B2354" w:rsidRDefault="009B2354">
            <w:pPr>
              <w:spacing w:after="200" w:line="252" w:lineRule="auto"/>
              <w:ind w:left="100"/>
              <w:rPr>
                <w:rFonts w:ascii="Arial" w:hAnsi="Arial" w:cs="Arial"/>
                <w:bCs/>
                <w:color w:val="000000"/>
                <w:sz w:val="20"/>
                <w:szCs w:val="20"/>
              </w:rPr>
            </w:pPr>
            <w:r>
              <w:rPr>
                <w:rFonts w:ascii="Arial" w:hAnsi="Arial" w:cs="Arial"/>
                <w:b/>
                <w:bCs/>
                <w:color w:val="000000"/>
                <w:sz w:val="20"/>
                <w:szCs w:val="20"/>
              </w:rPr>
              <w:t>Sesión número</w:t>
            </w:r>
          </w:p>
        </w:tc>
        <w:tc>
          <w:tcPr>
            <w:tcW w:w="1480" w:type="dxa"/>
            <w:tcBorders>
              <w:top w:val="single" w:sz="8" w:space="0" w:color="000000"/>
              <w:left w:val="single" w:sz="8" w:space="0" w:color="auto"/>
              <w:bottom w:val="single" w:sz="8" w:space="0" w:color="000000"/>
              <w:right w:val="single" w:sz="8" w:space="0" w:color="000000"/>
            </w:tcBorders>
            <w:hideMark/>
          </w:tcPr>
          <w:p w:rsidR="009B2354" w:rsidRDefault="009B2354">
            <w:pPr>
              <w:spacing w:after="200" w:line="252" w:lineRule="auto"/>
              <w:ind w:left="62"/>
              <w:rPr>
                <w:rFonts w:ascii="Arial" w:hAnsi="Arial" w:cs="Arial"/>
                <w:bCs/>
                <w:color w:val="000000"/>
                <w:sz w:val="20"/>
                <w:szCs w:val="20"/>
              </w:rPr>
            </w:pPr>
            <w:r>
              <w:rPr>
                <w:rFonts w:ascii="Arial" w:hAnsi="Arial" w:cs="Arial"/>
                <w:bCs/>
                <w:color w:val="000000"/>
                <w:sz w:val="20"/>
                <w:szCs w:val="20"/>
              </w:rPr>
              <w:t>18</w:t>
            </w:r>
          </w:p>
        </w:tc>
      </w:tr>
      <w:tr w:rsidR="009B2354" w:rsidTr="009B2354">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9B2354" w:rsidRDefault="009B2354">
            <w:pPr>
              <w:spacing w:after="200" w:line="252" w:lineRule="auto"/>
              <w:rPr>
                <w:rFonts w:ascii="Arial" w:hAnsi="Arial" w:cs="Arial"/>
                <w:color w:val="000000"/>
                <w:sz w:val="20"/>
                <w:szCs w:val="20"/>
              </w:rPr>
            </w:pPr>
            <w:r>
              <w:rPr>
                <w:rFonts w:ascii="Arial" w:hAnsi="Arial" w:cs="Arial"/>
                <w:b/>
                <w:color w:val="000000"/>
                <w:sz w:val="20"/>
                <w:szCs w:val="20"/>
              </w:rPr>
              <w:t>Motivo:</w:t>
            </w:r>
            <w:r>
              <w:rPr>
                <w:rFonts w:ascii="Arial" w:hAnsi="Arial" w:cs="Arial"/>
                <w:color w:val="000000"/>
                <w:sz w:val="20"/>
                <w:szCs w:val="20"/>
              </w:rPr>
              <w:t xml:space="preserve"> Habeas Corpus</w:t>
            </w:r>
          </w:p>
        </w:tc>
      </w:tr>
      <w:tr w:rsidR="009B2354" w:rsidTr="009B2354">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9B2354" w:rsidRDefault="009B2354" w:rsidP="009B2354">
            <w:pPr>
              <w:spacing w:after="200" w:line="252" w:lineRule="auto"/>
              <w:rPr>
                <w:rFonts w:ascii="Arial" w:hAnsi="Arial" w:cs="Arial"/>
                <w:b/>
                <w:color w:val="000000"/>
                <w:sz w:val="20"/>
                <w:szCs w:val="20"/>
              </w:rPr>
            </w:pPr>
            <w:r>
              <w:rPr>
                <w:rFonts w:ascii="Arial" w:hAnsi="Arial" w:cs="Arial"/>
                <w:b/>
                <w:color w:val="000000"/>
                <w:sz w:val="20"/>
                <w:szCs w:val="20"/>
              </w:rPr>
              <w:t>Recurrentes:</w:t>
            </w:r>
            <w:r>
              <w:rPr>
                <w:rFonts w:ascii="Arial" w:hAnsi="Arial" w:cs="Arial"/>
                <w:color w:val="000000"/>
                <w:sz w:val="20"/>
                <w:szCs w:val="20"/>
              </w:rPr>
              <w:t xml:space="preserve"> </w:t>
            </w:r>
            <w:r w:rsidRPr="009B2354">
              <w:rPr>
                <w:rFonts w:ascii="Arial" w:hAnsi="Arial" w:cs="Arial"/>
                <w:color w:val="000000"/>
                <w:sz w:val="20"/>
                <w:szCs w:val="20"/>
              </w:rPr>
              <w:t>José Francisco Ramírez Granados, Olger Rojas Hidalgo, Olger Picado González, Ilse Acosta Polonio, Gerardo Soto González, Dagoberto Costes Acosta, Rodrigo Villalobos Zumbado, Jhonny Tenorio Soto, Rodrigo Antonio Rodríguez Álvarez, Cruz Herrera Araya,</w:t>
            </w:r>
            <w:r>
              <w:rPr>
                <w:rFonts w:ascii="Arial" w:hAnsi="Arial" w:cs="Arial"/>
                <w:color w:val="000000"/>
                <w:sz w:val="20"/>
                <w:szCs w:val="20"/>
              </w:rPr>
              <w:t xml:space="preserve"> Pedro Marino Atencio Gutiérrez;</w:t>
            </w:r>
            <w:r w:rsidRPr="009B2354">
              <w:rPr>
                <w:rFonts w:ascii="Arial" w:hAnsi="Arial" w:cs="Arial"/>
                <w:color w:val="000000"/>
                <w:sz w:val="20"/>
                <w:szCs w:val="20"/>
              </w:rPr>
              <w:t xml:space="preserve"> Francisco Ledezma Morera</w:t>
            </w:r>
          </w:p>
        </w:tc>
      </w:tr>
      <w:tr w:rsidR="009B2354" w:rsidTr="009B2354">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2354" w:rsidRDefault="009B2354" w:rsidP="009B2354">
            <w:pPr>
              <w:spacing w:before="100" w:after="100" w:line="252" w:lineRule="auto"/>
              <w:jc w:val="both"/>
              <w:rPr>
                <w:rFonts w:ascii="Arial" w:hAnsi="Arial" w:cs="Arial"/>
                <w:bCs/>
                <w:color w:val="000000"/>
                <w:sz w:val="20"/>
                <w:szCs w:val="20"/>
              </w:rPr>
            </w:pPr>
            <w:r>
              <w:rPr>
                <w:rFonts w:ascii="Arial" w:hAnsi="Arial" w:cs="Arial"/>
                <w:b/>
                <w:bCs/>
                <w:color w:val="000000"/>
                <w:sz w:val="20"/>
                <w:szCs w:val="20"/>
              </w:rPr>
              <w:t>Recurridos:</w:t>
            </w:r>
            <w:r>
              <w:rPr>
                <w:rFonts w:ascii="Arial" w:hAnsi="Arial" w:cs="Arial"/>
                <w:bCs/>
                <w:color w:val="000000"/>
                <w:sz w:val="20"/>
                <w:szCs w:val="20"/>
              </w:rPr>
              <w:t xml:space="preserve"> </w:t>
            </w:r>
            <w:r>
              <w:rPr>
                <w:rFonts w:ascii="Arial" w:hAnsi="Arial" w:cs="Arial"/>
                <w:color w:val="000000"/>
                <w:sz w:val="20"/>
                <w:szCs w:val="20"/>
              </w:rPr>
              <w:t>No se detallan</w:t>
            </w:r>
          </w:p>
        </w:tc>
      </w:tr>
      <w:tr w:rsidR="009B2354" w:rsidTr="009B2354">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2354" w:rsidRDefault="009B2354">
            <w:pPr>
              <w:spacing w:after="160" w:line="252" w:lineRule="auto"/>
              <w:jc w:val="both"/>
              <w:rPr>
                <w:rFonts w:ascii="Arial" w:hAnsi="Arial" w:cs="Arial"/>
                <w:color w:val="000000"/>
                <w:sz w:val="20"/>
                <w:szCs w:val="20"/>
              </w:rPr>
            </w:pPr>
            <w:r>
              <w:rPr>
                <w:rFonts w:ascii="Arial" w:hAnsi="Arial" w:cs="Arial"/>
                <w:b/>
                <w:bCs/>
                <w:color w:val="000000"/>
                <w:sz w:val="20"/>
                <w:szCs w:val="20"/>
              </w:rPr>
              <w:t>Objeto del recurso</w:t>
            </w:r>
            <w:r>
              <w:rPr>
                <w:rFonts w:ascii="Arial" w:hAnsi="Arial" w:cs="Arial"/>
                <w:color w:val="000000"/>
                <w:sz w:val="20"/>
                <w:szCs w:val="20"/>
              </w:rPr>
              <w:t>: Los recurrentes impugnan su detención.</w:t>
            </w:r>
          </w:p>
        </w:tc>
      </w:tr>
      <w:tr w:rsidR="009B2354" w:rsidTr="009B2354">
        <w:tc>
          <w:tcPr>
            <w:tcW w:w="24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2354" w:rsidRDefault="009B2354">
            <w:pPr>
              <w:spacing w:after="200" w:line="252" w:lineRule="auto"/>
              <w:rPr>
                <w:rFonts w:ascii="Arial" w:hAnsi="Arial" w:cs="Arial"/>
                <w:b/>
                <w:bCs/>
                <w:color w:val="000000"/>
                <w:sz w:val="20"/>
                <w:szCs w:val="20"/>
              </w:rPr>
            </w:pPr>
            <w:r>
              <w:rPr>
                <w:rFonts w:ascii="Arial" w:hAnsi="Arial" w:cs="Arial"/>
                <w:b/>
                <w:bCs/>
                <w:color w:val="000000"/>
                <w:sz w:val="20"/>
                <w:szCs w:val="20"/>
              </w:rPr>
              <w:t>Parte dispositiva</w:t>
            </w:r>
          </w:p>
        </w:tc>
        <w:tc>
          <w:tcPr>
            <w:tcW w:w="63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9B2354" w:rsidRDefault="009B2354">
            <w:pPr>
              <w:spacing w:after="160" w:line="252" w:lineRule="auto"/>
              <w:jc w:val="both"/>
              <w:rPr>
                <w:rFonts w:ascii="Arial" w:hAnsi="Arial" w:cs="Arial"/>
                <w:color w:val="000000"/>
                <w:sz w:val="20"/>
                <w:szCs w:val="20"/>
              </w:rPr>
            </w:pPr>
            <w:r>
              <w:rPr>
                <w:rFonts w:ascii="Arial" w:hAnsi="Arial" w:cs="Arial"/>
                <w:color w:val="000000"/>
                <w:sz w:val="20"/>
                <w:szCs w:val="20"/>
              </w:rPr>
              <w:t>Archivados (recurrentes libres).</w:t>
            </w:r>
          </w:p>
        </w:tc>
      </w:tr>
    </w:tbl>
    <w:p w:rsidR="00F1107E" w:rsidRDefault="00F1107E" w:rsidP="00F1107E">
      <w:pPr>
        <w:spacing w:line="420" w:lineRule="atLeast"/>
        <w:jc w:val="center"/>
        <w:rPr>
          <w:b/>
          <w:bCs/>
          <w:color w:val="000000"/>
          <w:sz w:val="28"/>
          <w:szCs w:val="28"/>
        </w:rPr>
      </w:pPr>
      <w:r>
        <w:rPr>
          <w:b/>
          <w:bCs/>
          <w:sz w:val="28"/>
          <w:szCs w:val="28"/>
        </w:rPr>
        <w:t>N° 18</w:t>
      </w:r>
    </w:p>
    <w:p w:rsidR="00F1107E" w:rsidRDefault="00F1107E" w:rsidP="00F1107E">
      <w:pPr>
        <w:spacing w:line="420" w:lineRule="atLeast"/>
        <w:jc w:val="both"/>
        <w:rPr>
          <w:b/>
          <w:bCs/>
          <w:color w:val="000000"/>
          <w:sz w:val="28"/>
          <w:szCs w:val="28"/>
        </w:rPr>
      </w:pPr>
    </w:p>
    <w:p w:rsidR="00F1107E" w:rsidRDefault="00F1107E" w:rsidP="00F1107E">
      <w:pPr>
        <w:spacing w:line="420" w:lineRule="atLeast"/>
        <w:jc w:val="both"/>
        <w:rPr>
          <w:bCs/>
          <w:color w:val="000000"/>
          <w:sz w:val="28"/>
          <w:szCs w:val="28"/>
        </w:rPr>
      </w:pPr>
      <w:r>
        <w:rPr>
          <w:b/>
          <w:bCs/>
          <w:color w:val="000000"/>
          <w:sz w:val="28"/>
          <w:szCs w:val="28"/>
        </w:rPr>
        <w:t>SESIÓN ORDINARIA DE LA CORTE PLENA celebrada a las trece horas y treinta minutos del cinco de abril de mil novecientos setenta y seis,</w:t>
      </w:r>
      <w:r>
        <w:rPr>
          <w:bCs/>
          <w:color w:val="000000"/>
          <w:sz w:val="28"/>
          <w:szCs w:val="28"/>
        </w:rPr>
        <w:t xml:space="preserve"> con asistencia inicial de los Magistrados Coto (Presidente), Quirós, Arroyo, Odio, Retana, Jacobo, Vallejo, Cervantes, Bejarano, Fernández, Valverde, Villalobos, Zavaleta, Trejos, Porter y Benavides.</w:t>
      </w:r>
    </w:p>
    <w:p w:rsidR="002C3459" w:rsidRDefault="009B2354" w:rsidP="00F1107E">
      <w:pPr>
        <w:jc w:val="center"/>
      </w:pPr>
    </w:p>
    <w:p w:rsidR="00F1107E" w:rsidRDefault="00F1107E" w:rsidP="00F1107E">
      <w:pPr>
        <w:jc w:val="center"/>
      </w:pPr>
    </w:p>
    <w:p w:rsidR="00F1107E" w:rsidRDefault="00F1107E" w:rsidP="009B2354">
      <w:pPr>
        <w:spacing w:line="360" w:lineRule="auto"/>
        <w:jc w:val="center"/>
        <w:rPr>
          <w:b/>
          <w:sz w:val="28"/>
          <w:szCs w:val="28"/>
        </w:rPr>
      </w:pPr>
      <w:r w:rsidRPr="00F1107E">
        <w:rPr>
          <w:b/>
          <w:sz w:val="28"/>
          <w:szCs w:val="28"/>
        </w:rPr>
        <w:t>Artículo VII</w:t>
      </w:r>
    </w:p>
    <w:p w:rsidR="00F1107E" w:rsidRPr="00F1107E" w:rsidRDefault="00F1107E" w:rsidP="009B2354">
      <w:pPr>
        <w:spacing w:line="360" w:lineRule="auto"/>
        <w:jc w:val="both"/>
        <w:rPr>
          <w:sz w:val="28"/>
          <w:szCs w:val="28"/>
        </w:rPr>
      </w:pPr>
      <w:r>
        <w:rPr>
          <w:sz w:val="28"/>
          <w:szCs w:val="28"/>
        </w:rPr>
        <w:t xml:space="preserve">Se dispuso archivar los recursos de habeas corpus interpuestos a favor de </w:t>
      </w:r>
      <w:r w:rsidR="009B2354" w:rsidRPr="009B2354">
        <w:rPr>
          <w:b/>
          <w:sz w:val="28"/>
          <w:szCs w:val="28"/>
        </w:rPr>
        <w:t>JOSÉ FRANCISCO RAMÍREZ GRANADOS, OLGER ROJAS HIDALGO, OLGER PICADO GONZÁLEZ, ILSE ACOSTA POLONIO, GERARDO SOTO GONZÁLEZ, DAGOBERTO COSTES ACOSTA, RODRIGO VILLALOBOS ZUMBADO, JHONNY TENORIO SOTO, RODRIGO ANTONIO RODRÍGUEZ ÁLVAREZ, CRUZ HERRERA ARAYA, PEDRO MARINO ATENCIO GUTIÉRREZ</w:t>
      </w:r>
      <w:r w:rsidR="009B2354">
        <w:rPr>
          <w:sz w:val="28"/>
          <w:szCs w:val="28"/>
        </w:rPr>
        <w:t xml:space="preserve"> </w:t>
      </w:r>
      <w:r>
        <w:rPr>
          <w:sz w:val="28"/>
          <w:szCs w:val="28"/>
        </w:rPr>
        <w:t xml:space="preserve">y </w:t>
      </w:r>
      <w:r w:rsidR="009B2354" w:rsidRPr="009B2354">
        <w:rPr>
          <w:b/>
          <w:sz w:val="28"/>
          <w:szCs w:val="28"/>
        </w:rPr>
        <w:t>FRANCISCO LEDEZMA MORERA</w:t>
      </w:r>
      <w:r w:rsidR="009B2354">
        <w:rPr>
          <w:sz w:val="28"/>
          <w:szCs w:val="28"/>
        </w:rPr>
        <w:t xml:space="preserve"> </w:t>
      </w:r>
      <w:r>
        <w:rPr>
          <w:sz w:val="28"/>
          <w:szCs w:val="28"/>
        </w:rPr>
        <w:t>por cuanto informa las respectivas autoridades que los once primeros se encuentran en libertad, y que el ultimo no ha sido detenido.</w:t>
      </w:r>
      <w:bookmarkStart w:id="0" w:name="_GoBack"/>
      <w:bookmarkEnd w:id="0"/>
    </w:p>
    <w:sectPr w:rsidR="00F1107E" w:rsidRPr="00F1107E" w:rsidSect="00A52C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hyphenationZone w:val="425"/>
  <w:characterSpacingControl w:val="doNotCompress"/>
  <w:compat/>
  <w:rsids>
    <w:rsidRoot w:val="00F1107E"/>
    <w:rsid w:val="006C7E31"/>
    <w:rsid w:val="009B2354"/>
    <w:rsid w:val="00A52C72"/>
    <w:rsid w:val="00B361DF"/>
    <w:rsid w:val="00F110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7E"/>
    <w:pPr>
      <w:spacing w:after="0" w:line="240" w:lineRule="auto"/>
    </w:pPr>
    <w:rPr>
      <w:rFonts w:ascii="Times New Roman" w:eastAsia="Times New Roman" w:hAnsi="Times New Roman" w:cs="Times New Roman"/>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578724">
      <w:bodyDiv w:val="1"/>
      <w:marLeft w:val="0"/>
      <w:marRight w:val="0"/>
      <w:marTop w:val="0"/>
      <w:marBottom w:val="0"/>
      <w:divBdr>
        <w:top w:val="none" w:sz="0" w:space="0" w:color="auto"/>
        <w:left w:val="none" w:sz="0" w:space="0" w:color="auto"/>
        <w:bottom w:val="none" w:sz="0" w:space="0" w:color="auto"/>
        <w:right w:val="none" w:sz="0" w:space="0" w:color="auto"/>
      </w:divBdr>
    </w:div>
    <w:div w:id="20427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Guevara Rivas</dc:creator>
  <cp:keywords/>
  <dc:description/>
  <cp:lastModifiedBy>rbeers</cp:lastModifiedBy>
  <cp:revision>2</cp:revision>
  <dcterms:created xsi:type="dcterms:W3CDTF">2017-06-26T21:57:00Z</dcterms:created>
  <dcterms:modified xsi:type="dcterms:W3CDTF">2017-07-11T21:32:00Z</dcterms:modified>
</cp:coreProperties>
</file>