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E3" w:rsidRDefault="008F2CE3" w:rsidP="008F2CE3">
      <w:pPr>
        <w:jc w:val="center"/>
      </w:pPr>
      <w:r>
        <w:rPr>
          <w:b/>
        </w:rPr>
        <w:t>N° 1</w:t>
      </w:r>
      <w:r w:rsidR="00C75185">
        <w:rPr>
          <w:b/>
        </w:rPr>
        <w:t>2</w:t>
      </w:r>
    </w:p>
    <w:p w:rsidR="008F2CE3" w:rsidRDefault="008F2CE3" w:rsidP="008F2CE3">
      <w:pPr>
        <w:ind w:firstLine="708"/>
        <w:jc w:val="both"/>
      </w:pPr>
      <w:r>
        <w:t xml:space="preserve">Sesión ordinaria de la Corte Plena celebrada a las trece horas y treinta minutos del </w:t>
      </w:r>
      <w:r w:rsidR="00C75185">
        <w:t xml:space="preserve">catorce </w:t>
      </w:r>
      <w:r>
        <w:t xml:space="preserve">de marzo de mil novecientos setenta y siete, con asistencia inicial de los señores Magistrados Coto, Presidente; </w:t>
      </w:r>
      <w:r w:rsidR="00C75185">
        <w:t xml:space="preserve">Quirós, Arroyo, </w:t>
      </w:r>
      <w:r>
        <w:t xml:space="preserve">Odio, Retana, Jacobo, Vallejo, Cervantes, Bejarano, Blanco, Fernández, Valverde, </w:t>
      </w:r>
      <w:r w:rsidR="00C75185">
        <w:t xml:space="preserve">Villalobos, </w:t>
      </w:r>
      <w:r>
        <w:t>Zabaleta, Trejos</w:t>
      </w:r>
      <w:r w:rsidR="00C75185">
        <w:t xml:space="preserve"> </w:t>
      </w:r>
      <w:r>
        <w:t>y Benavides.</w:t>
      </w:r>
    </w:p>
    <w:p w:rsidR="008F2CE3" w:rsidRDefault="008F2CE3" w:rsidP="008F2CE3">
      <w:pPr>
        <w:jc w:val="center"/>
        <w:rPr>
          <w:b/>
        </w:rPr>
      </w:pPr>
      <w:r>
        <w:rPr>
          <w:b/>
        </w:rPr>
        <w:t>Artículo II</w:t>
      </w:r>
    </w:p>
    <w:p w:rsidR="00C75185" w:rsidRDefault="00C75185" w:rsidP="008F2CE3">
      <w:pPr>
        <w:ind w:firstLine="708"/>
        <w:jc w:val="both"/>
      </w:pPr>
      <w:r>
        <w:t>Fue declarado sin lugar el recurso de Hábeas Corpus interpuesto por Fernando Murillo Montero, pues la privación de su libertad no es ilegítima, ya que obedece a una sentencia condenatoria dictada por la Alcaldía de Cañas (Juzgado Penal por ministerio de Ley), en causa por el delito de robo.-</w:t>
      </w:r>
    </w:p>
    <w:p w:rsidR="00AF08E4" w:rsidRDefault="00C75185" w:rsidP="008F2CE3">
      <w:pPr>
        <w:ind w:firstLine="708"/>
        <w:jc w:val="both"/>
      </w:pPr>
      <w:r>
        <w:t xml:space="preserve">Como el señor Murillo alega que “no se le ha informado nada sobre el asunto” </w:t>
      </w:r>
      <w:r w:rsidR="00990CDC">
        <w:t>y pide que se aclare su situación jurídica, se acordó: Manifestar al interesado que en el expediente principal con</w:t>
      </w:r>
      <w:r w:rsidR="00AF08E4">
        <w:t>s</w:t>
      </w:r>
      <w:r w:rsidR="00990CDC">
        <w:t>ta que la sentencia le fue notificada el trece de</w:t>
      </w:r>
      <w:r w:rsidR="00AF08E4">
        <w:t xml:space="preserve"> abril de mil novecientos setenta y seis, y que la apelación que en ese acto interpuso no ha podido tramitarse porque uno de los reos era ausente y fue necesario notificarle por edictos, y porque otro de los procesados (José Efraín Vargas Rodríguez) tampoco fue hallado para notificarle, a causa de lo cual también hubo necesidad de ordenar su notificación por edictos, sin que todavía –al diecisiete de enero de este año- la Imprenta Nacional hubiera publicado el respectivo edicto, lo que dio lugar a que el señor Juez gestionara de nuevo esa publicación, mediante nota dirigida a la Imprenta.-</w:t>
      </w:r>
    </w:p>
    <w:p w:rsidR="008F2CE3" w:rsidRDefault="00AF08E4" w:rsidP="008F2CE3">
      <w:pPr>
        <w:ind w:firstLine="708"/>
        <w:jc w:val="both"/>
      </w:pPr>
      <w:r>
        <w:t>Al propio tiempo se dispuso: Recomendar al señor Juez que active los procedimientos en todo lo que esté a su alcance, a fin de que el asunto pueda definirse a la mayor brevedad</w:t>
      </w:r>
      <w:r w:rsidR="008F2CE3">
        <w:t>.</w:t>
      </w:r>
    </w:p>
    <w:sectPr w:rsidR="008F2CE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F2CE3"/>
    <w:rsid w:val="00033CB9"/>
    <w:rsid w:val="00712C1C"/>
    <w:rsid w:val="008F2CE3"/>
    <w:rsid w:val="00956078"/>
    <w:rsid w:val="00990CDC"/>
    <w:rsid w:val="00AF08E4"/>
    <w:rsid w:val="00C75185"/>
    <w:rsid w:val="00F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2017-07-04T16:46:00Z</dcterms:created>
  <dcterms:modified xsi:type="dcterms:W3CDTF">2017-07-04T20:32:00Z</dcterms:modified>
</cp:coreProperties>
</file>