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Ind w:w="108" w:type="dxa"/>
        <w:tblCellMar>
          <w:left w:w="0" w:type="dxa"/>
          <w:right w:w="0" w:type="dxa"/>
        </w:tblCellMar>
        <w:tblLook w:val="04A0"/>
      </w:tblPr>
      <w:tblGrid>
        <w:gridCol w:w="1985"/>
        <w:gridCol w:w="464"/>
        <w:gridCol w:w="2413"/>
        <w:gridCol w:w="2447"/>
        <w:gridCol w:w="1480"/>
      </w:tblGrid>
      <w:tr w:rsidR="004B642D" w:rsidTr="005D4D9E">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5D4D9E">
            <w:pPr>
              <w:spacing w:after="200" w:line="252" w:lineRule="auto"/>
              <w:rPr>
                <w:rFonts w:ascii="Arial" w:eastAsia="Times New Roman" w:hAnsi="Arial" w:cs="Arial"/>
                <w:b/>
                <w:bCs/>
                <w:color w:val="000000"/>
                <w:sz w:val="20"/>
                <w:szCs w:val="20"/>
                <w:lang w:eastAsia="es-ES"/>
              </w:rPr>
            </w:pPr>
            <w:r>
              <w:rPr>
                <w:rFonts w:ascii="Arial" w:hAnsi="Arial" w:cs="Arial"/>
                <w:b/>
                <w:bCs/>
                <w:color w:val="000000"/>
                <w:sz w:val="20"/>
                <w:szCs w:val="20"/>
              </w:rPr>
              <w:t>Fecha</w:t>
            </w:r>
          </w:p>
        </w:tc>
        <w:tc>
          <w:tcPr>
            <w:tcW w:w="2877" w:type="dxa"/>
            <w:gridSpan w:val="2"/>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4B642D" w:rsidRDefault="004B642D" w:rsidP="005D4D9E">
            <w:pPr>
              <w:spacing w:after="200" w:line="252" w:lineRule="auto"/>
              <w:rPr>
                <w:rFonts w:ascii="Arial" w:eastAsia="Times New Roman" w:hAnsi="Arial" w:cs="Arial"/>
                <w:bCs/>
                <w:color w:val="000000"/>
                <w:sz w:val="20"/>
                <w:szCs w:val="20"/>
                <w:lang w:eastAsia="es-ES"/>
              </w:rPr>
            </w:pPr>
            <w:r>
              <w:rPr>
                <w:rFonts w:ascii="Arial" w:hAnsi="Arial" w:cs="Arial"/>
                <w:bCs/>
                <w:color w:val="000000"/>
                <w:sz w:val="20"/>
                <w:szCs w:val="20"/>
              </w:rPr>
              <w:t>26 de julio de 1977</w:t>
            </w:r>
          </w:p>
        </w:tc>
        <w:tc>
          <w:tcPr>
            <w:tcW w:w="2447" w:type="dxa"/>
            <w:tcBorders>
              <w:top w:val="single" w:sz="8" w:space="0" w:color="000000"/>
              <w:left w:val="single" w:sz="8" w:space="0" w:color="auto"/>
              <w:bottom w:val="single" w:sz="8" w:space="0" w:color="000000"/>
              <w:right w:val="single" w:sz="8" w:space="0" w:color="auto"/>
            </w:tcBorders>
            <w:hideMark/>
          </w:tcPr>
          <w:p w:rsidR="004B642D" w:rsidRDefault="004B642D" w:rsidP="005D4D9E">
            <w:pPr>
              <w:spacing w:after="200" w:line="252" w:lineRule="auto"/>
              <w:ind w:left="100"/>
              <w:rPr>
                <w:rFonts w:ascii="Arial" w:eastAsia="Times New Roman" w:hAnsi="Arial" w:cs="Arial"/>
                <w:bCs/>
                <w:color w:val="000000"/>
                <w:sz w:val="20"/>
                <w:szCs w:val="20"/>
                <w:lang w:eastAsia="es-ES"/>
              </w:rPr>
            </w:pPr>
            <w:r>
              <w:rPr>
                <w:rFonts w:ascii="Arial" w:hAnsi="Arial" w:cs="Arial"/>
                <w:b/>
                <w:bCs/>
                <w:color w:val="000000"/>
                <w:sz w:val="20"/>
                <w:szCs w:val="20"/>
              </w:rPr>
              <w:t>Sesión número</w:t>
            </w:r>
          </w:p>
        </w:tc>
        <w:tc>
          <w:tcPr>
            <w:tcW w:w="1480" w:type="dxa"/>
            <w:tcBorders>
              <w:top w:val="single" w:sz="8" w:space="0" w:color="000000"/>
              <w:left w:val="single" w:sz="8" w:space="0" w:color="auto"/>
              <w:bottom w:val="single" w:sz="8" w:space="0" w:color="000000"/>
              <w:right w:val="single" w:sz="8" w:space="0" w:color="000000"/>
            </w:tcBorders>
            <w:hideMark/>
          </w:tcPr>
          <w:p w:rsidR="004B642D" w:rsidRDefault="004B642D" w:rsidP="005D4D9E">
            <w:pPr>
              <w:spacing w:after="200" w:line="252" w:lineRule="auto"/>
              <w:ind w:left="62"/>
              <w:rPr>
                <w:rFonts w:ascii="Arial" w:eastAsia="Times New Roman" w:hAnsi="Arial" w:cs="Arial"/>
                <w:bCs/>
                <w:color w:val="000000"/>
                <w:sz w:val="20"/>
                <w:szCs w:val="20"/>
                <w:lang w:eastAsia="es-ES"/>
              </w:rPr>
            </w:pPr>
            <w:r>
              <w:rPr>
                <w:rFonts w:ascii="Arial" w:hAnsi="Arial" w:cs="Arial"/>
                <w:bCs/>
                <w:color w:val="000000"/>
                <w:sz w:val="20"/>
                <w:szCs w:val="20"/>
              </w:rPr>
              <w:t>44</w:t>
            </w:r>
          </w:p>
        </w:tc>
      </w:tr>
      <w:tr w:rsidR="004B642D" w:rsidTr="005D4D9E">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5D4D9E">
            <w:pPr>
              <w:spacing w:after="200" w:line="252" w:lineRule="auto"/>
              <w:rPr>
                <w:rFonts w:ascii="Arial" w:eastAsia="Times New Roman" w:hAnsi="Arial" w:cs="Arial"/>
                <w:color w:val="000000"/>
                <w:sz w:val="20"/>
                <w:szCs w:val="20"/>
                <w:lang w:eastAsia="es-ES"/>
              </w:rPr>
            </w:pPr>
            <w:r>
              <w:rPr>
                <w:rFonts w:ascii="Arial" w:hAnsi="Arial" w:cs="Arial"/>
                <w:b/>
                <w:color w:val="000000"/>
                <w:sz w:val="20"/>
                <w:szCs w:val="20"/>
              </w:rPr>
              <w:t>Motivo:</w:t>
            </w:r>
            <w:r>
              <w:rPr>
                <w:rFonts w:ascii="Arial" w:hAnsi="Arial" w:cs="Arial"/>
                <w:color w:val="000000"/>
                <w:sz w:val="20"/>
                <w:szCs w:val="20"/>
              </w:rPr>
              <w:t xml:space="preserve"> Habeas Corpus</w:t>
            </w:r>
          </w:p>
        </w:tc>
      </w:tr>
      <w:tr w:rsidR="004B642D" w:rsidTr="005D4D9E">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4B642D">
            <w:pPr>
              <w:spacing w:after="200" w:line="252" w:lineRule="auto"/>
              <w:rPr>
                <w:rFonts w:ascii="Arial" w:eastAsia="Times New Roman" w:hAnsi="Arial" w:cs="Arial"/>
                <w:b/>
                <w:bCs/>
                <w:color w:val="000000"/>
                <w:sz w:val="20"/>
                <w:szCs w:val="20"/>
                <w:lang w:eastAsia="es-ES"/>
              </w:rPr>
            </w:pPr>
            <w:r>
              <w:rPr>
                <w:rFonts w:ascii="Arial" w:hAnsi="Arial" w:cs="Arial"/>
                <w:b/>
                <w:bCs/>
                <w:color w:val="000000"/>
                <w:sz w:val="20"/>
                <w:szCs w:val="20"/>
              </w:rPr>
              <w:t>Recurrente</w:t>
            </w:r>
            <w:r>
              <w:rPr>
                <w:rFonts w:ascii="Arial" w:hAnsi="Arial" w:cs="Arial"/>
                <w:color w:val="000000"/>
                <w:sz w:val="20"/>
                <w:szCs w:val="20"/>
              </w:rPr>
              <w:t xml:space="preserve">: </w:t>
            </w:r>
            <w:r w:rsidRPr="004B642D">
              <w:rPr>
                <w:rFonts w:ascii="Arial" w:hAnsi="Arial" w:cs="Arial"/>
                <w:bCs/>
                <w:color w:val="000000"/>
                <w:sz w:val="20"/>
                <w:szCs w:val="20"/>
              </w:rPr>
              <w:t>Orlando Céspedes Brenes</w:t>
            </w:r>
          </w:p>
        </w:tc>
      </w:tr>
      <w:tr w:rsidR="004B642D" w:rsidTr="005D4D9E">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4B642D">
            <w:pPr>
              <w:spacing w:after="200" w:line="252" w:lineRule="auto"/>
              <w:rPr>
                <w:rFonts w:ascii="Arial" w:hAnsi="Arial" w:cs="Arial"/>
                <w:b/>
                <w:bCs/>
                <w:color w:val="000000"/>
                <w:sz w:val="20"/>
                <w:szCs w:val="20"/>
              </w:rPr>
            </w:pPr>
            <w:r>
              <w:rPr>
                <w:rFonts w:ascii="Arial" w:hAnsi="Arial" w:cs="Arial"/>
                <w:b/>
                <w:bCs/>
                <w:color w:val="000000"/>
                <w:sz w:val="20"/>
                <w:szCs w:val="20"/>
              </w:rPr>
              <w:t>Tutelada:</w:t>
            </w:r>
            <w:r>
              <w:rPr>
                <w:rFonts w:ascii="Times New Roman" w:eastAsia="Times New Roman" w:hAnsi="Times New Roman" w:cs="Times New Roman"/>
                <w:b/>
                <w:sz w:val="28"/>
                <w:szCs w:val="28"/>
                <w:lang w:eastAsia="es-ES"/>
              </w:rPr>
              <w:t xml:space="preserve"> </w:t>
            </w:r>
            <w:r w:rsidRPr="004B642D">
              <w:rPr>
                <w:rFonts w:ascii="Arial" w:hAnsi="Arial" w:cs="Arial"/>
                <w:bCs/>
                <w:color w:val="000000"/>
                <w:sz w:val="20"/>
                <w:szCs w:val="20"/>
              </w:rPr>
              <w:t>Cecilia Gordon Gordon</w:t>
            </w:r>
          </w:p>
        </w:tc>
      </w:tr>
      <w:tr w:rsidR="004B642D" w:rsidTr="005D4D9E">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4B642D">
            <w:pPr>
              <w:spacing w:before="100" w:after="100" w:line="252" w:lineRule="auto"/>
              <w:jc w:val="both"/>
              <w:rPr>
                <w:rFonts w:ascii="Arial" w:eastAsia="Times New Roman" w:hAnsi="Arial" w:cs="Arial"/>
                <w:bCs/>
                <w:color w:val="000000"/>
                <w:sz w:val="20"/>
                <w:szCs w:val="20"/>
                <w:lang w:eastAsia="es-ES"/>
              </w:rPr>
            </w:pPr>
            <w:r>
              <w:rPr>
                <w:rFonts w:ascii="Arial" w:hAnsi="Arial" w:cs="Arial"/>
                <w:b/>
                <w:bCs/>
                <w:color w:val="000000"/>
                <w:sz w:val="20"/>
                <w:szCs w:val="20"/>
              </w:rPr>
              <w:t>Recurrido:</w:t>
            </w:r>
            <w:r>
              <w:rPr>
                <w:rFonts w:ascii="Arial" w:hAnsi="Arial" w:cs="Arial"/>
                <w:bCs/>
                <w:color w:val="000000"/>
                <w:sz w:val="20"/>
                <w:szCs w:val="20"/>
              </w:rPr>
              <w:t xml:space="preserve"> </w:t>
            </w:r>
            <w:r>
              <w:rPr>
                <w:rFonts w:ascii="Arial" w:hAnsi="Arial" w:cs="Arial"/>
                <w:bCs/>
                <w:color w:val="000000"/>
                <w:sz w:val="20"/>
                <w:szCs w:val="20"/>
              </w:rPr>
              <w:t>Agencia Fiscal de Limón</w:t>
            </w:r>
          </w:p>
        </w:tc>
      </w:tr>
      <w:tr w:rsidR="004B642D" w:rsidTr="005D4D9E">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4B642D">
            <w:pPr>
              <w:spacing w:line="252" w:lineRule="auto"/>
              <w:jc w:val="both"/>
              <w:rPr>
                <w:rFonts w:ascii="Arial" w:eastAsia="Times New Roman" w:hAnsi="Arial" w:cs="Arial"/>
                <w:color w:val="000000"/>
                <w:sz w:val="20"/>
                <w:szCs w:val="20"/>
                <w:lang w:eastAsia="es-ES"/>
              </w:rPr>
            </w:pPr>
            <w:r>
              <w:rPr>
                <w:rFonts w:ascii="Arial" w:hAnsi="Arial" w:cs="Arial"/>
                <w:b/>
                <w:bCs/>
                <w:color w:val="000000"/>
                <w:sz w:val="20"/>
                <w:szCs w:val="20"/>
              </w:rPr>
              <w:t>Objeto del recurso</w:t>
            </w:r>
            <w:r>
              <w:rPr>
                <w:rFonts w:ascii="Arial" w:hAnsi="Arial" w:cs="Arial"/>
                <w:color w:val="000000"/>
                <w:sz w:val="20"/>
                <w:szCs w:val="20"/>
              </w:rPr>
              <w:t xml:space="preserve">: </w:t>
            </w:r>
            <w:r>
              <w:rPr>
                <w:rFonts w:ascii="Arial" w:hAnsi="Arial" w:cs="Arial"/>
                <w:color w:val="000000"/>
                <w:sz w:val="20"/>
                <w:szCs w:val="20"/>
              </w:rPr>
              <w:t>El recurrente aduce que la tutelada se mantiene detenida desde el 11 de julio de 1977, sin motivo aparente.</w:t>
            </w:r>
          </w:p>
        </w:tc>
      </w:tr>
      <w:tr w:rsidR="004B642D" w:rsidTr="005D4D9E">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Pr="004B642D" w:rsidRDefault="004B642D" w:rsidP="004B642D">
            <w:pPr>
              <w:spacing w:line="252" w:lineRule="auto"/>
              <w:jc w:val="both"/>
              <w:rPr>
                <w:rFonts w:ascii="Arial" w:hAnsi="Arial" w:cs="Arial"/>
                <w:bCs/>
                <w:color w:val="000000"/>
                <w:sz w:val="20"/>
                <w:szCs w:val="20"/>
              </w:rPr>
            </w:pPr>
            <w:r>
              <w:rPr>
                <w:rFonts w:ascii="Arial" w:hAnsi="Arial" w:cs="Arial"/>
                <w:b/>
                <w:bCs/>
                <w:color w:val="000000"/>
                <w:sz w:val="20"/>
                <w:szCs w:val="20"/>
              </w:rPr>
              <w:t>Respuesta del recurrido:</w:t>
            </w:r>
            <w:r>
              <w:rPr>
                <w:rFonts w:ascii="Arial" w:hAnsi="Arial" w:cs="Arial"/>
                <w:bCs/>
                <w:color w:val="000000"/>
                <w:sz w:val="20"/>
                <w:szCs w:val="20"/>
              </w:rPr>
              <w:t xml:space="preserve"> La tutelada es objeto de sumaria por hurto agravado y lesiones graves; empero, no se ha dictado auto alguno contra ella.</w:t>
            </w:r>
          </w:p>
        </w:tc>
      </w:tr>
      <w:tr w:rsidR="004B642D" w:rsidTr="005D4D9E">
        <w:tc>
          <w:tcPr>
            <w:tcW w:w="24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642D" w:rsidRDefault="004B642D" w:rsidP="005D4D9E">
            <w:pPr>
              <w:spacing w:after="200" w:line="252" w:lineRule="auto"/>
              <w:rPr>
                <w:rFonts w:ascii="Arial" w:eastAsia="Times New Roman" w:hAnsi="Arial" w:cs="Arial"/>
                <w:b/>
                <w:bCs/>
                <w:color w:val="000000"/>
                <w:sz w:val="20"/>
                <w:szCs w:val="20"/>
                <w:lang w:eastAsia="es-ES"/>
              </w:rPr>
            </w:pPr>
            <w:r>
              <w:rPr>
                <w:rFonts w:ascii="Arial" w:hAnsi="Arial" w:cs="Arial"/>
                <w:b/>
                <w:bCs/>
                <w:color w:val="000000"/>
                <w:sz w:val="20"/>
                <w:szCs w:val="20"/>
              </w:rPr>
              <w:t>Parte dispositiva</w:t>
            </w:r>
          </w:p>
        </w:tc>
        <w:tc>
          <w:tcPr>
            <w:tcW w:w="63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4B642D" w:rsidRDefault="004B642D" w:rsidP="005D4D9E">
            <w:pPr>
              <w:spacing w:line="252" w:lineRule="auto"/>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 emplazó al recurrido a dictar la resolución pertinente en las próximas 48 horas. VS de los Magistrados Odio, Bejarano y Valverde.</w:t>
            </w:r>
          </w:p>
        </w:tc>
      </w:tr>
    </w:tbl>
    <w:p w:rsidR="004B642D" w:rsidRDefault="004B642D" w:rsidP="00ED51BD">
      <w:pPr>
        <w:spacing w:after="0" w:line="420" w:lineRule="atLeast"/>
        <w:jc w:val="center"/>
        <w:rPr>
          <w:rFonts w:ascii="Times New Roman" w:eastAsia="Times New Roman" w:hAnsi="Times New Roman" w:cs="Times New Roman"/>
          <w:b/>
          <w:bCs/>
          <w:sz w:val="28"/>
          <w:szCs w:val="28"/>
          <w:lang w:eastAsia="es-ES"/>
        </w:rPr>
      </w:pPr>
    </w:p>
    <w:p w:rsidR="00ED51BD" w:rsidRPr="00EB5A3B" w:rsidRDefault="00ED51BD" w:rsidP="00ED51BD">
      <w:pPr>
        <w:spacing w:after="0" w:line="420" w:lineRule="atLeast"/>
        <w:jc w:val="center"/>
        <w:rPr>
          <w:rFonts w:ascii="Times New Roman" w:eastAsia="Times New Roman" w:hAnsi="Times New Roman" w:cs="Times New Roman"/>
          <w:b/>
          <w:bCs/>
          <w:sz w:val="28"/>
          <w:szCs w:val="28"/>
          <w:lang w:eastAsia="es-ES"/>
        </w:rPr>
      </w:pPr>
      <w:r>
        <w:rPr>
          <w:rFonts w:ascii="Times New Roman" w:eastAsia="Times New Roman" w:hAnsi="Times New Roman" w:cs="Times New Roman"/>
          <w:b/>
          <w:bCs/>
          <w:sz w:val="28"/>
          <w:szCs w:val="28"/>
          <w:lang w:eastAsia="es-ES"/>
        </w:rPr>
        <w:t>Nº 44</w:t>
      </w:r>
    </w:p>
    <w:p w:rsidR="00ED51BD" w:rsidRPr="00EB5A3B" w:rsidRDefault="00ED51BD" w:rsidP="00ED51BD">
      <w:pPr>
        <w:tabs>
          <w:tab w:val="left" w:pos="3626"/>
        </w:tabs>
        <w:spacing w:after="0" w:line="360" w:lineRule="auto"/>
        <w:jc w:val="both"/>
        <w:rPr>
          <w:rFonts w:ascii="Times New Roman" w:eastAsia="Times New Roman" w:hAnsi="Times New Roman" w:cs="Times New Roman"/>
          <w:b/>
          <w:bCs/>
          <w:sz w:val="28"/>
          <w:szCs w:val="28"/>
          <w:lang w:eastAsia="es-ES"/>
        </w:rPr>
      </w:pPr>
      <w:r w:rsidRPr="00EB5A3B">
        <w:rPr>
          <w:rFonts w:ascii="Times New Roman" w:eastAsia="Times New Roman" w:hAnsi="Times New Roman" w:cs="Times New Roman"/>
          <w:b/>
          <w:bCs/>
          <w:sz w:val="28"/>
          <w:szCs w:val="28"/>
          <w:lang w:eastAsia="es-ES"/>
        </w:rPr>
        <w:tab/>
      </w:r>
    </w:p>
    <w:p w:rsidR="00ED51BD" w:rsidRDefault="00ED51BD" w:rsidP="00ED51BD">
      <w:pPr>
        <w:spacing w:after="0" w:line="360" w:lineRule="auto"/>
        <w:jc w:val="both"/>
        <w:rPr>
          <w:rFonts w:ascii="Times New Roman" w:eastAsia="Times New Roman" w:hAnsi="Times New Roman" w:cs="Times New Roman"/>
          <w:sz w:val="28"/>
          <w:szCs w:val="28"/>
          <w:lang w:eastAsia="es-ES"/>
        </w:rPr>
      </w:pPr>
      <w:r w:rsidRPr="00EB5A3B">
        <w:rPr>
          <w:rFonts w:ascii="Times New Roman" w:eastAsia="Times New Roman" w:hAnsi="Times New Roman" w:cs="Times New Roman"/>
          <w:b/>
          <w:caps/>
          <w:sz w:val="28"/>
          <w:szCs w:val="28"/>
          <w:lang w:eastAsia="es-ES"/>
        </w:rPr>
        <w:t xml:space="preserve">Sesión </w:t>
      </w:r>
      <w:r>
        <w:rPr>
          <w:rFonts w:ascii="Times New Roman" w:eastAsia="Times New Roman" w:hAnsi="Times New Roman" w:cs="Times New Roman"/>
          <w:b/>
          <w:caps/>
          <w:sz w:val="28"/>
          <w:szCs w:val="28"/>
          <w:lang w:eastAsia="es-ES"/>
        </w:rPr>
        <w:t>ordinaria</w:t>
      </w:r>
      <w:r w:rsidRPr="00EB5A3B">
        <w:rPr>
          <w:rFonts w:ascii="Times New Roman" w:eastAsia="Times New Roman" w:hAnsi="Times New Roman" w:cs="Times New Roman"/>
          <w:b/>
          <w:caps/>
          <w:sz w:val="28"/>
          <w:szCs w:val="28"/>
          <w:lang w:eastAsia="es-ES"/>
        </w:rPr>
        <w:t xml:space="preserve"> de Corte Plena</w:t>
      </w:r>
      <w:r w:rsidRPr="00EB5A3B">
        <w:rPr>
          <w:rFonts w:ascii="Times New Roman" w:eastAsia="Times New Roman" w:hAnsi="Times New Roman" w:cs="Times New Roman"/>
          <w:b/>
          <w:sz w:val="28"/>
          <w:szCs w:val="28"/>
          <w:lang w:eastAsia="es-ES"/>
        </w:rPr>
        <w:t xml:space="preserve"> celebrada a las </w:t>
      </w:r>
      <w:r>
        <w:rPr>
          <w:rFonts w:ascii="Times New Roman" w:eastAsia="Times New Roman" w:hAnsi="Times New Roman" w:cs="Times New Roman"/>
          <w:b/>
          <w:sz w:val="28"/>
          <w:szCs w:val="28"/>
          <w:lang w:eastAsia="es-ES"/>
        </w:rPr>
        <w:t>trece</w:t>
      </w:r>
      <w:r w:rsidRPr="00EB5A3B">
        <w:rPr>
          <w:rFonts w:ascii="Times New Roman" w:eastAsia="Times New Roman" w:hAnsi="Times New Roman" w:cs="Times New Roman"/>
          <w:b/>
          <w:sz w:val="28"/>
          <w:szCs w:val="28"/>
          <w:lang w:eastAsia="es-ES"/>
        </w:rPr>
        <w:t xml:space="preserve"> horas</w:t>
      </w:r>
      <w:r>
        <w:rPr>
          <w:rFonts w:ascii="Times New Roman" w:eastAsia="Times New Roman" w:hAnsi="Times New Roman" w:cs="Times New Roman"/>
          <w:b/>
          <w:sz w:val="28"/>
          <w:szCs w:val="28"/>
          <w:lang w:eastAsia="es-ES"/>
        </w:rPr>
        <w:t xml:space="preserve"> y treinta minutos</w:t>
      </w:r>
      <w:r w:rsidRPr="00EB5A3B">
        <w:rPr>
          <w:rFonts w:ascii="Times New Roman" w:eastAsia="Times New Roman" w:hAnsi="Times New Roman" w:cs="Times New Roman"/>
          <w:b/>
          <w:sz w:val="28"/>
          <w:szCs w:val="28"/>
          <w:lang w:eastAsia="es-ES"/>
        </w:rPr>
        <w:t xml:space="preserve"> del </w:t>
      </w:r>
      <w:r>
        <w:rPr>
          <w:rFonts w:ascii="Times New Roman" w:eastAsia="Times New Roman" w:hAnsi="Times New Roman" w:cs="Times New Roman"/>
          <w:b/>
          <w:sz w:val="28"/>
          <w:szCs w:val="28"/>
          <w:lang w:eastAsia="es-ES"/>
        </w:rPr>
        <w:t>veintiséis de julio de mil novecientos setenta y siete</w:t>
      </w:r>
      <w:r w:rsidRPr="00EB5A3B">
        <w:rPr>
          <w:rFonts w:ascii="Times New Roman" w:eastAsia="Times New Roman" w:hAnsi="Times New Roman" w:cs="Times New Roman"/>
          <w:sz w:val="28"/>
          <w:szCs w:val="28"/>
          <w:lang w:eastAsia="es-ES"/>
        </w:rPr>
        <w:t xml:space="preserve">, con asistencia inicial de los señores Magistrados </w:t>
      </w:r>
      <w:r>
        <w:rPr>
          <w:rFonts w:ascii="Times New Roman" w:eastAsia="Times New Roman" w:hAnsi="Times New Roman" w:cs="Times New Roman"/>
          <w:sz w:val="28"/>
          <w:szCs w:val="28"/>
          <w:lang w:eastAsia="es-ES"/>
        </w:rPr>
        <w:t xml:space="preserve">Coto (Presidente); Quirós, Odio, Jacobo, Vallejo, Cervantes, Bejarano, Valverde, Villalobos, Zavaleta, Trejos, Porter y Benavides. </w:t>
      </w:r>
    </w:p>
    <w:p w:rsidR="00ED51BD" w:rsidRDefault="00ED51BD" w:rsidP="00ED51BD">
      <w:pPr>
        <w:spacing w:after="0" w:line="360" w:lineRule="auto"/>
        <w:jc w:val="both"/>
        <w:rPr>
          <w:rFonts w:ascii="Times New Roman" w:eastAsia="Times New Roman" w:hAnsi="Times New Roman" w:cs="Times New Roman"/>
          <w:sz w:val="28"/>
          <w:szCs w:val="28"/>
          <w:lang w:eastAsia="es-ES"/>
        </w:rPr>
      </w:pPr>
    </w:p>
    <w:p w:rsidR="00C62E06" w:rsidRDefault="00ED51BD" w:rsidP="00ED51BD">
      <w:pPr>
        <w:jc w:val="center"/>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Artículo IV</w:t>
      </w:r>
    </w:p>
    <w:p w:rsidR="00ED51BD" w:rsidRDefault="00ED51BD" w:rsidP="00ED51BD">
      <w:pPr>
        <w:spacing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El señor </w:t>
      </w:r>
      <w:r w:rsidR="004B642D" w:rsidRPr="004B642D">
        <w:rPr>
          <w:rFonts w:ascii="Times New Roman" w:eastAsia="Times New Roman" w:hAnsi="Times New Roman" w:cs="Times New Roman"/>
          <w:b/>
          <w:sz w:val="28"/>
          <w:szCs w:val="28"/>
          <w:lang w:eastAsia="es-ES"/>
        </w:rPr>
        <w:t>ORLANDO CÉSPEDES BRENES</w:t>
      </w:r>
      <w:r>
        <w:rPr>
          <w:rFonts w:ascii="Times New Roman" w:eastAsia="Times New Roman" w:hAnsi="Times New Roman" w:cs="Times New Roman"/>
          <w:sz w:val="28"/>
          <w:szCs w:val="28"/>
          <w:lang w:eastAsia="es-ES"/>
        </w:rPr>
        <w:t xml:space="preserve"> plantea un recurso de Hábeas Corpus a favor de </w:t>
      </w:r>
      <w:r>
        <w:rPr>
          <w:rFonts w:ascii="Times New Roman" w:eastAsia="Times New Roman" w:hAnsi="Times New Roman" w:cs="Times New Roman"/>
          <w:b/>
          <w:sz w:val="28"/>
          <w:szCs w:val="28"/>
          <w:lang w:eastAsia="es-ES"/>
        </w:rPr>
        <w:t>CECILIA GORDON GORDON</w:t>
      </w:r>
      <w:r>
        <w:rPr>
          <w:rFonts w:ascii="Times New Roman" w:eastAsia="Times New Roman" w:hAnsi="Times New Roman" w:cs="Times New Roman"/>
          <w:sz w:val="28"/>
          <w:szCs w:val="28"/>
          <w:lang w:eastAsia="es-ES"/>
        </w:rPr>
        <w:t>, quien se encuentra detenida desde el once de los corrientes. Agrega que no existe ningún delito y que la Agencia Fiscal de Limón tiene conocimiento de ello, no obstante lo cual insiste en mantenerla detenida.</w:t>
      </w:r>
    </w:p>
    <w:p w:rsidR="00ED51BD" w:rsidRDefault="00ED51BD" w:rsidP="00ED51BD">
      <w:pPr>
        <w:spacing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El señor Agente Fiscal de Limón informa que contra la señora Gordon se sigue información sumaria por hurto agravado y lesiones leves.</w:t>
      </w:r>
    </w:p>
    <w:p w:rsidR="00ED51BD" w:rsidRDefault="00ED51BD" w:rsidP="00ED51BD">
      <w:pPr>
        <w:spacing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lastRenderedPageBreak/>
        <w:t>Se tuvo a la vista el expediente respectivo, del cual aparece que la información fue iniciada el once de julio. La señora Gordon rindió declaración el catorce de este mismo mes. Al folio tres del expediente está agregada una copia de la orden dirigida por el Agente Fiscal al Alcalde de Cárcel de Limón, para que mantenga detenida en esa cárcel a la señora Gordon. No existe en los autos ninguna resolución que sirva de respaldo a esa orden.</w:t>
      </w:r>
    </w:p>
    <w:p w:rsidR="00ED51BD" w:rsidRDefault="0051762A" w:rsidP="00ED51BD">
      <w:pPr>
        <w:spacing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Discutido el caso, se acordó: Suspender la decisión del recurso por cuarenta y ocho horas y prevenir al señor Agente Fiscal que reciba cualesquiera otras pruebas </w:t>
      </w:r>
      <w:r w:rsidR="00F52EAA">
        <w:rPr>
          <w:rFonts w:ascii="Times New Roman" w:eastAsia="Times New Roman" w:hAnsi="Times New Roman" w:cs="Times New Roman"/>
          <w:sz w:val="28"/>
          <w:szCs w:val="28"/>
          <w:lang w:eastAsia="es-ES"/>
        </w:rPr>
        <w:t xml:space="preserve">que sean indispensables, y proceda dentro de ese término a resolver si mantiene o no la detención de la señora Gordon, de lo cual deberá rendir informe a esta Corte </w:t>
      </w:r>
      <w:r w:rsidR="00F3549B">
        <w:rPr>
          <w:rFonts w:ascii="Times New Roman" w:eastAsia="Times New Roman" w:hAnsi="Times New Roman" w:cs="Times New Roman"/>
          <w:sz w:val="28"/>
          <w:szCs w:val="28"/>
          <w:lang w:eastAsia="es-ES"/>
        </w:rPr>
        <w:t>de manera inmediata. Así se dispone con base en el artículo 6° de la Ley de Hábeas Corpus. Al propio tiempo se acordó: Advertir al señor Agente Fiscal que en lo sucesivo acate la circular de esta Corte número 32, publicada en el Boletín Judicial N°</w:t>
      </w:r>
      <w:r w:rsidR="004B642D">
        <w:rPr>
          <w:rFonts w:ascii="Times New Roman" w:eastAsia="Times New Roman" w:hAnsi="Times New Roman" w:cs="Times New Roman"/>
          <w:sz w:val="28"/>
          <w:szCs w:val="28"/>
          <w:lang w:eastAsia="es-ES"/>
        </w:rPr>
        <w:t xml:space="preserve"> </w:t>
      </w:r>
      <w:r w:rsidR="00F3549B">
        <w:rPr>
          <w:rFonts w:ascii="Times New Roman" w:eastAsia="Times New Roman" w:hAnsi="Times New Roman" w:cs="Times New Roman"/>
          <w:sz w:val="28"/>
          <w:szCs w:val="28"/>
          <w:lang w:eastAsia="es-ES"/>
        </w:rPr>
        <w:t>204 de octubre de 1976.</w:t>
      </w:r>
    </w:p>
    <w:p w:rsidR="00F3549B" w:rsidRDefault="00F3549B" w:rsidP="00ED51BD">
      <w:pPr>
        <w:spacing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Los Magistrados Odio, Bejarano, y Valverde votaron por declarar con lugar el recurso, por no existir auto de detención y haber transcurrido el término a que se refiere el artículo 286 del Código de Procedimientos Penales.</w:t>
      </w:r>
    </w:p>
    <w:p w:rsidR="00F3549B" w:rsidRPr="00ED51BD" w:rsidRDefault="00F3549B" w:rsidP="00ED51BD">
      <w:pPr>
        <w:spacing w:line="360" w:lineRule="auto"/>
        <w:jc w:val="both"/>
      </w:pPr>
      <w:bookmarkStart w:id="0" w:name="_GoBack"/>
      <w:bookmarkEnd w:id="0"/>
    </w:p>
    <w:sectPr w:rsidR="00F3549B" w:rsidRPr="00ED51BD" w:rsidSect="00B77E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efaultTabStop w:val="708"/>
  <w:hyphenationZone w:val="425"/>
  <w:characterSpacingControl w:val="doNotCompress"/>
  <w:compat/>
  <w:rsids>
    <w:rsidRoot w:val="00ED371F"/>
    <w:rsid w:val="004B642D"/>
    <w:rsid w:val="0051762A"/>
    <w:rsid w:val="00986840"/>
    <w:rsid w:val="00B77E5A"/>
    <w:rsid w:val="00C62E06"/>
    <w:rsid w:val="00ED371F"/>
    <w:rsid w:val="00ED51BD"/>
    <w:rsid w:val="00F3549B"/>
    <w:rsid w:val="00F52EA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Garro</dc:creator>
  <cp:keywords/>
  <dc:description/>
  <cp:lastModifiedBy>rbeers</cp:lastModifiedBy>
  <cp:revision>5</cp:revision>
  <dcterms:created xsi:type="dcterms:W3CDTF">2017-07-04T16:15:00Z</dcterms:created>
  <dcterms:modified xsi:type="dcterms:W3CDTF">2017-07-18T17:23:00Z</dcterms:modified>
</cp:coreProperties>
</file>