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108" w:type="dxa"/>
        <w:tblCellMar>
          <w:left w:w="0" w:type="dxa"/>
          <w:right w:w="0" w:type="dxa"/>
        </w:tblCellMar>
        <w:tblLook w:val="04A0"/>
      </w:tblPr>
      <w:tblGrid>
        <w:gridCol w:w="1985"/>
        <w:gridCol w:w="464"/>
        <w:gridCol w:w="2413"/>
        <w:gridCol w:w="2447"/>
        <w:gridCol w:w="1480"/>
      </w:tblGrid>
      <w:tr w:rsidR="00D22EE2" w:rsidTr="00D22EE2">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2EE2" w:rsidRDefault="00D22EE2">
            <w:pPr>
              <w:spacing w:after="200" w:line="252" w:lineRule="auto"/>
              <w:rPr>
                <w:rFonts w:ascii="Arial" w:eastAsia="Times New Roman" w:hAnsi="Arial" w:cs="Arial"/>
                <w:b/>
                <w:bCs/>
                <w:color w:val="000000"/>
                <w:sz w:val="20"/>
                <w:szCs w:val="20"/>
                <w:lang w:eastAsia="es-ES"/>
              </w:rPr>
            </w:pPr>
            <w:r>
              <w:rPr>
                <w:rFonts w:ascii="Arial" w:hAnsi="Arial" w:cs="Arial"/>
                <w:b/>
                <w:bCs/>
                <w:color w:val="000000"/>
                <w:sz w:val="20"/>
                <w:szCs w:val="20"/>
              </w:rPr>
              <w:t>Fecha</w:t>
            </w:r>
          </w:p>
        </w:tc>
        <w:tc>
          <w:tcPr>
            <w:tcW w:w="2877" w:type="dxa"/>
            <w:gridSpan w:val="2"/>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D22EE2" w:rsidRDefault="00D22EE2">
            <w:pPr>
              <w:spacing w:after="200" w:line="252" w:lineRule="auto"/>
              <w:rPr>
                <w:rFonts w:ascii="Arial" w:eastAsia="Times New Roman" w:hAnsi="Arial" w:cs="Arial"/>
                <w:bCs/>
                <w:color w:val="000000"/>
                <w:sz w:val="20"/>
                <w:szCs w:val="20"/>
                <w:lang w:eastAsia="es-ES"/>
              </w:rPr>
            </w:pPr>
            <w:r>
              <w:rPr>
                <w:rFonts w:ascii="Arial" w:hAnsi="Arial" w:cs="Arial"/>
                <w:bCs/>
                <w:color w:val="000000"/>
                <w:sz w:val="20"/>
                <w:szCs w:val="20"/>
              </w:rPr>
              <w:t>12 de marzo de 1979</w:t>
            </w:r>
          </w:p>
        </w:tc>
        <w:tc>
          <w:tcPr>
            <w:tcW w:w="2447" w:type="dxa"/>
            <w:tcBorders>
              <w:top w:val="single" w:sz="8" w:space="0" w:color="000000"/>
              <w:left w:val="single" w:sz="8" w:space="0" w:color="auto"/>
              <w:bottom w:val="single" w:sz="8" w:space="0" w:color="000000"/>
              <w:right w:val="single" w:sz="8" w:space="0" w:color="auto"/>
            </w:tcBorders>
            <w:hideMark/>
          </w:tcPr>
          <w:p w:rsidR="00D22EE2" w:rsidRDefault="00D22EE2">
            <w:pPr>
              <w:spacing w:after="200" w:line="252" w:lineRule="auto"/>
              <w:ind w:left="100"/>
              <w:rPr>
                <w:rFonts w:ascii="Arial" w:eastAsia="Times New Roman" w:hAnsi="Arial" w:cs="Arial"/>
                <w:bCs/>
                <w:color w:val="000000"/>
                <w:sz w:val="20"/>
                <w:szCs w:val="20"/>
                <w:lang w:eastAsia="es-ES"/>
              </w:rPr>
            </w:pPr>
            <w:r>
              <w:rPr>
                <w:rFonts w:ascii="Arial" w:hAnsi="Arial" w:cs="Arial"/>
                <w:b/>
                <w:bCs/>
                <w:color w:val="000000"/>
                <w:sz w:val="20"/>
                <w:szCs w:val="20"/>
              </w:rPr>
              <w:t>Sesión número</w:t>
            </w:r>
          </w:p>
        </w:tc>
        <w:tc>
          <w:tcPr>
            <w:tcW w:w="1480" w:type="dxa"/>
            <w:tcBorders>
              <w:top w:val="single" w:sz="8" w:space="0" w:color="000000"/>
              <w:left w:val="single" w:sz="8" w:space="0" w:color="auto"/>
              <w:bottom w:val="single" w:sz="8" w:space="0" w:color="000000"/>
              <w:right w:val="single" w:sz="8" w:space="0" w:color="000000"/>
            </w:tcBorders>
            <w:hideMark/>
          </w:tcPr>
          <w:p w:rsidR="00D22EE2" w:rsidRDefault="00D22EE2">
            <w:pPr>
              <w:spacing w:after="200" w:line="252" w:lineRule="auto"/>
              <w:ind w:left="62"/>
              <w:rPr>
                <w:rFonts w:ascii="Arial" w:eastAsia="Times New Roman" w:hAnsi="Arial" w:cs="Arial"/>
                <w:bCs/>
                <w:color w:val="000000"/>
                <w:sz w:val="20"/>
                <w:szCs w:val="20"/>
                <w:lang w:eastAsia="es-ES"/>
              </w:rPr>
            </w:pPr>
            <w:r>
              <w:rPr>
                <w:rFonts w:ascii="Arial" w:hAnsi="Arial" w:cs="Arial"/>
                <w:bCs/>
                <w:color w:val="000000"/>
                <w:sz w:val="20"/>
                <w:szCs w:val="20"/>
              </w:rPr>
              <w:t>11</w:t>
            </w:r>
          </w:p>
        </w:tc>
      </w:tr>
      <w:tr w:rsidR="00D22EE2" w:rsidTr="00D22EE2">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D22EE2" w:rsidRDefault="00D22EE2">
            <w:pPr>
              <w:spacing w:after="200" w:line="252" w:lineRule="auto"/>
              <w:rPr>
                <w:rFonts w:ascii="Arial" w:eastAsia="Times New Roman" w:hAnsi="Arial" w:cs="Arial"/>
                <w:color w:val="000000"/>
                <w:sz w:val="20"/>
                <w:szCs w:val="20"/>
                <w:lang w:eastAsia="es-ES"/>
              </w:rPr>
            </w:pPr>
            <w:r>
              <w:rPr>
                <w:rFonts w:ascii="Arial" w:hAnsi="Arial" w:cs="Arial"/>
                <w:b/>
                <w:color w:val="000000"/>
                <w:sz w:val="20"/>
                <w:szCs w:val="20"/>
              </w:rPr>
              <w:t>Motivo:</w:t>
            </w:r>
            <w:r>
              <w:rPr>
                <w:rFonts w:ascii="Arial" w:hAnsi="Arial" w:cs="Arial"/>
                <w:color w:val="000000"/>
                <w:sz w:val="20"/>
                <w:szCs w:val="20"/>
              </w:rPr>
              <w:t xml:space="preserve"> Habeas Corpus</w:t>
            </w:r>
          </w:p>
        </w:tc>
      </w:tr>
      <w:tr w:rsidR="00D22EE2" w:rsidTr="00D22EE2">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D22EE2" w:rsidRDefault="00D22EE2" w:rsidP="00D22EE2">
            <w:pPr>
              <w:spacing w:line="252" w:lineRule="auto"/>
              <w:rPr>
                <w:rFonts w:ascii="Arial" w:hAnsi="Arial" w:cs="Arial"/>
                <w:color w:val="000000"/>
                <w:sz w:val="20"/>
                <w:szCs w:val="20"/>
              </w:rPr>
            </w:pPr>
            <w:r>
              <w:rPr>
                <w:rFonts w:ascii="Arial" w:hAnsi="Arial" w:cs="Arial"/>
                <w:b/>
                <w:bCs/>
                <w:color w:val="000000"/>
                <w:sz w:val="20"/>
                <w:szCs w:val="20"/>
              </w:rPr>
              <w:t>Recurrente</w:t>
            </w:r>
            <w:r>
              <w:rPr>
                <w:rFonts w:ascii="Arial" w:hAnsi="Arial" w:cs="Arial"/>
                <w:color w:val="000000"/>
                <w:sz w:val="20"/>
                <w:szCs w:val="20"/>
              </w:rPr>
              <w:t xml:space="preserve">: </w:t>
            </w:r>
            <w:r w:rsidRPr="00D22EE2">
              <w:rPr>
                <w:rFonts w:ascii="Arial" w:hAnsi="Arial" w:cs="Arial"/>
                <w:color w:val="000000"/>
                <w:sz w:val="20"/>
                <w:szCs w:val="20"/>
              </w:rPr>
              <w:t>Wilbert Villalobos Sánchez</w:t>
            </w:r>
          </w:p>
        </w:tc>
      </w:tr>
      <w:tr w:rsidR="00D22EE2" w:rsidTr="00D22EE2">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2EE2" w:rsidRDefault="00D22EE2" w:rsidP="00D22EE2">
            <w:pPr>
              <w:spacing w:before="100" w:after="100" w:line="252" w:lineRule="auto"/>
              <w:jc w:val="both"/>
              <w:rPr>
                <w:rFonts w:ascii="Arial" w:eastAsia="Times New Roman" w:hAnsi="Arial" w:cs="Arial"/>
                <w:bCs/>
                <w:color w:val="000000"/>
                <w:sz w:val="20"/>
                <w:szCs w:val="20"/>
                <w:lang w:eastAsia="es-ES"/>
              </w:rPr>
            </w:pPr>
            <w:r>
              <w:rPr>
                <w:rFonts w:ascii="Arial" w:hAnsi="Arial" w:cs="Arial"/>
                <w:b/>
                <w:bCs/>
                <w:color w:val="000000"/>
                <w:sz w:val="20"/>
                <w:szCs w:val="20"/>
              </w:rPr>
              <w:t>Recurrido:</w:t>
            </w:r>
            <w:r>
              <w:rPr>
                <w:rFonts w:ascii="Arial" w:hAnsi="Arial" w:cs="Arial"/>
                <w:bCs/>
                <w:color w:val="000000"/>
                <w:sz w:val="20"/>
                <w:szCs w:val="20"/>
              </w:rPr>
              <w:t xml:space="preserve"> </w:t>
            </w:r>
            <w:r>
              <w:rPr>
                <w:rFonts w:ascii="Arial" w:hAnsi="Arial" w:cs="Arial"/>
                <w:color w:val="000000"/>
                <w:sz w:val="20"/>
                <w:szCs w:val="20"/>
              </w:rPr>
              <w:t>Tribunal Superior de Liberia</w:t>
            </w:r>
          </w:p>
        </w:tc>
      </w:tr>
      <w:tr w:rsidR="00D22EE2" w:rsidRPr="00D22EE2" w:rsidTr="00D22EE2">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2EE2" w:rsidRDefault="00D22EE2" w:rsidP="00D22EE2">
            <w:pPr>
              <w:spacing w:line="252" w:lineRule="auto"/>
              <w:jc w:val="both"/>
              <w:rPr>
                <w:rFonts w:ascii="Arial" w:eastAsia="Times New Roman" w:hAnsi="Arial" w:cs="Arial"/>
                <w:color w:val="000000"/>
                <w:sz w:val="20"/>
                <w:szCs w:val="20"/>
                <w:lang w:eastAsia="es-ES"/>
              </w:rPr>
            </w:pPr>
            <w:r>
              <w:rPr>
                <w:rFonts w:ascii="Arial" w:hAnsi="Arial" w:cs="Arial"/>
                <w:b/>
                <w:bCs/>
                <w:color w:val="000000"/>
                <w:sz w:val="20"/>
                <w:szCs w:val="20"/>
              </w:rPr>
              <w:t>Objeto del recurso</w:t>
            </w:r>
            <w:r>
              <w:rPr>
                <w:rFonts w:ascii="Arial" w:hAnsi="Arial" w:cs="Arial"/>
                <w:color w:val="000000"/>
                <w:sz w:val="20"/>
                <w:szCs w:val="20"/>
              </w:rPr>
              <w:t>: El recurrente aduce que lo mantienen preso pese a haberse dictado auto de falta de mérito a su favor.</w:t>
            </w:r>
          </w:p>
        </w:tc>
      </w:tr>
      <w:tr w:rsidR="00D22EE2" w:rsidRPr="00D22EE2" w:rsidTr="00D22EE2">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2EE2" w:rsidRDefault="00D22EE2" w:rsidP="00D22EE2">
            <w:pPr>
              <w:spacing w:line="252" w:lineRule="auto"/>
              <w:jc w:val="both"/>
              <w:rPr>
                <w:rFonts w:ascii="Arial" w:hAnsi="Arial" w:cs="Arial"/>
                <w:b/>
                <w:bCs/>
                <w:color w:val="000000"/>
                <w:sz w:val="20"/>
                <w:szCs w:val="20"/>
              </w:rPr>
            </w:pPr>
            <w:r>
              <w:rPr>
                <w:rFonts w:ascii="Arial" w:hAnsi="Arial" w:cs="Arial"/>
                <w:b/>
                <w:bCs/>
                <w:color w:val="000000"/>
                <w:sz w:val="20"/>
                <w:szCs w:val="20"/>
              </w:rPr>
              <w:t xml:space="preserve">Respuesta del recurrido: </w:t>
            </w:r>
            <w:r w:rsidRPr="00D22EE2">
              <w:rPr>
                <w:rFonts w:ascii="Arial" w:hAnsi="Arial" w:cs="Arial"/>
                <w:bCs/>
                <w:color w:val="000000"/>
                <w:sz w:val="20"/>
                <w:szCs w:val="20"/>
              </w:rPr>
              <w:t>Contra el recurrente</w:t>
            </w:r>
            <w:r>
              <w:rPr>
                <w:rFonts w:ascii="Arial" w:hAnsi="Arial" w:cs="Arial"/>
                <w:bCs/>
                <w:color w:val="000000"/>
                <w:sz w:val="20"/>
                <w:szCs w:val="20"/>
              </w:rPr>
              <w:t xml:space="preserve"> hay auto de procesamiento y prisión preventiva por hurto, y no existe tal falta de mérito.</w:t>
            </w:r>
          </w:p>
        </w:tc>
      </w:tr>
      <w:tr w:rsidR="00D22EE2" w:rsidTr="00D22EE2">
        <w:tc>
          <w:tcPr>
            <w:tcW w:w="24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2EE2" w:rsidRDefault="00D22EE2">
            <w:pPr>
              <w:spacing w:after="200" w:line="252" w:lineRule="auto"/>
              <w:rPr>
                <w:rFonts w:ascii="Arial" w:eastAsia="Times New Roman" w:hAnsi="Arial" w:cs="Arial"/>
                <w:b/>
                <w:bCs/>
                <w:color w:val="000000"/>
                <w:sz w:val="20"/>
                <w:szCs w:val="20"/>
                <w:lang w:eastAsia="es-ES"/>
              </w:rPr>
            </w:pPr>
            <w:r>
              <w:rPr>
                <w:rFonts w:ascii="Arial" w:hAnsi="Arial" w:cs="Arial"/>
                <w:b/>
                <w:bCs/>
                <w:color w:val="000000"/>
                <w:sz w:val="20"/>
                <w:szCs w:val="20"/>
              </w:rPr>
              <w:t>Parte dispositiva</w:t>
            </w:r>
          </w:p>
        </w:tc>
        <w:tc>
          <w:tcPr>
            <w:tcW w:w="634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22EE2" w:rsidRDefault="00D22EE2">
            <w:pPr>
              <w:spacing w:line="252"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Sin lugar (detención justificada).</w:t>
            </w:r>
          </w:p>
        </w:tc>
      </w:tr>
    </w:tbl>
    <w:p w:rsidR="00D22EE2" w:rsidRDefault="00D22EE2" w:rsidP="00D22EE2">
      <w:pPr>
        <w:pStyle w:val="paragraph"/>
        <w:spacing w:line="360" w:lineRule="auto"/>
        <w:jc w:val="center"/>
        <w:textAlignment w:val="baseline"/>
        <w:rPr>
          <w:rStyle w:val="normaltextrun1"/>
          <w:b/>
          <w:bCs/>
          <w:sz w:val="28"/>
          <w:szCs w:val="28"/>
          <w:lang w:val="es-CR"/>
        </w:rPr>
      </w:pPr>
    </w:p>
    <w:p w:rsidR="007762E5" w:rsidRDefault="007762E5" w:rsidP="00D22EE2">
      <w:pPr>
        <w:pStyle w:val="paragraph"/>
        <w:spacing w:line="360" w:lineRule="auto"/>
        <w:jc w:val="center"/>
        <w:textAlignment w:val="baseline"/>
      </w:pPr>
      <w:r>
        <w:rPr>
          <w:rStyle w:val="normaltextrun1"/>
          <w:b/>
          <w:bCs/>
          <w:sz w:val="28"/>
          <w:szCs w:val="28"/>
          <w:lang w:val="es-CR"/>
        </w:rPr>
        <w:t>N° 11</w:t>
      </w:r>
    </w:p>
    <w:p w:rsidR="007762E5" w:rsidRDefault="007762E5" w:rsidP="00D22EE2">
      <w:pPr>
        <w:pStyle w:val="paragraph"/>
        <w:spacing w:line="360" w:lineRule="auto"/>
        <w:jc w:val="both"/>
        <w:textAlignment w:val="baseline"/>
      </w:pPr>
      <w:r>
        <w:t> </w:t>
      </w:r>
    </w:p>
    <w:p w:rsidR="007762E5" w:rsidRDefault="007762E5" w:rsidP="00D22EE2">
      <w:pPr>
        <w:pStyle w:val="paragraph"/>
        <w:spacing w:line="360" w:lineRule="auto"/>
        <w:jc w:val="both"/>
        <w:textAlignment w:val="baseline"/>
        <w:rPr>
          <w:rStyle w:val="normaltextrun1"/>
        </w:rPr>
      </w:pPr>
      <w:r>
        <w:rPr>
          <w:rStyle w:val="normaltextrun1"/>
          <w:b/>
          <w:bCs/>
          <w:sz w:val="28"/>
          <w:szCs w:val="28"/>
        </w:rPr>
        <w:t>SESIÓN ORDINARIA DE LA CORTE PLENA celebrada a las trece h</w:t>
      </w:r>
      <w:r w:rsidR="00A6509B">
        <w:rPr>
          <w:rStyle w:val="normaltextrun1"/>
          <w:b/>
          <w:bCs/>
          <w:sz w:val="28"/>
          <w:szCs w:val="28"/>
        </w:rPr>
        <w:t>oras y treinta minutos del doce</w:t>
      </w:r>
      <w:bookmarkStart w:id="0" w:name="_GoBack"/>
      <w:bookmarkEnd w:id="0"/>
      <w:r>
        <w:rPr>
          <w:rStyle w:val="normaltextrun1"/>
          <w:b/>
          <w:bCs/>
          <w:sz w:val="28"/>
          <w:szCs w:val="28"/>
        </w:rPr>
        <w:t xml:space="preserve"> de marzo de mil novecientos setenta y nueve,</w:t>
      </w:r>
      <w:r>
        <w:rPr>
          <w:rStyle w:val="normaltextrun1"/>
          <w:sz w:val="28"/>
          <w:szCs w:val="28"/>
        </w:rPr>
        <w:t xml:space="preserve"> con asistencia inicial de los Magistrados Coto (Presidente), Retana, Jacobo, Vallejo, Cervantes, Blanco, Valverde, Villalobos, Zavaleta, Trejos, Porter y Benavides, y el Magistrado Suplente licenciado Alfredo Chavarría Serrano, quien sustituye al Magistrado Bejarano. </w:t>
      </w:r>
    </w:p>
    <w:p w:rsidR="007762E5" w:rsidRDefault="007762E5" w:rsidP="00D22EE2">
      <w:pPr>
        <w:pStyle w:val="paragraph"/>
        <w:spacing w:line="360" w:lineRule="auto"/>
        <w:jc w:val="both"/>
        <w:textAlignment w:val="baseline"/>
        <w:rPr>
          <w:rStyle w:val="eop"/>
          <w:sz w:val="28"/>
          <w:szCs w:val="28"/>
        </w:rPr>
      </w:pPr>
    </w:p>
    <w:p w:rsidR="007762E5" w:rsidRDefault="007762E5" w:rsidP="00D22EE2">
      <w:pPr>
        <w:pStyle w:val="paragraph"/>
        <w:spacing w:line="360" w:lineRule="auto"/>
        <w:jc w:val="center"/>
        <w:textAlignment w:val="baseline"/>
        <w:rPr>
          <w:rStyle w:val="eop"/>
          <w:b/>
          <w:sz w:val="28"/>
          <w:szCs w:val="28"/>
        </w:rPr>
      </w:pPr>
      <w:r>
        <w:rPr>
          <w:rStyle w:val="eop"/>
          <w:b/>
          <w:sz w:val="28"/>
          <w:szCs w:val="28"/>
        </w:rPr>
        <w:t>Artículo III</w:t>
      </w:r>
    </w:p>
    <w:p w:rsidR="007762E5" w:rsidRDefault="007762E5" w:rsidP="00D22EE2">
      <w:pPr>
        <w:pStyle w:val="paragraph"/>
        <w:spacing w:line="360" w:lineRule="auto"/>
        <w:jc w:val="both"/>
        <w:textAlignment w:val="baseline"/>
        <w:rPr>
          <w:rStyle w:val="eop"/>
          <w:sz w:val="28"/>
          <w:szCs w:val="28"/>
        </w:rPr>
      </w:pPr>
      <w:r>
        <w:rPr>
          <w:rStyle w:val="eop"/>
          <w:sz w:val="28"/>
          <w:szCs w:val="28"/>
        </w:rPr>
        <w:t xml:space="preserve">En escrito de veintidós de febrero del presente año, el señor </w:t>
      </w:r>
      <w:r w:rsidR="00D22EE2" w:rsidRPr="00D22EE2">
        <w:rPr>
          <w:rStyle w:val="eop"/>
          <w:b/>
          <w:sz w:val="28"/>
          <w:szCs w:val="28"/>
        </w:rPr>
        <w:t>WILBERT VILLALOBOS SÁNCHEZ</w:t>
      </w:r>
      <w:r>
        <w:rPr>
          <w:rStyle w:val="eop"/>
          <w:sz w:val="28"/>
          <w:szCs w:val="28"/>
        </w:rPr>
        <w:t xml:space="preserve"> presentó un recurso de Habeas Corpus</w:t>
      </w:r>
      <w:r w:rsidR="00A6509B">
        <w:rPr>
          <w:rStyle w:val="eop"/>
          <w:sz w:val="28"/>
          <w:szCs w:val="28"/>
        </w:rPr>
        <w:t xml:space="preserve"> a su favor, pues, según lo manifiesta, se encuentra injustamente detenido en virtud de que en la causa que se le sigue por el delito de hurto simple, se dictó falta de mérito.</w:t>
      </w:r>
    </w:p>
    <w:p w:rsidR="007762E5" w:rsidRDefault="007762E5" w:rsidP="00D22EE2">
      <w:pPr>
        <w:pStyle w:val="paragraph"/>
        <w:spacing w:line="360" w:lineRule="auto"/>
        <w:jc w:val="both"/>
        <w:textAlignment w:val="baseline"/>
        <w:rPr>
          <w:rStyle w:val="eop"/>
          <w:sz w:val="28"/>
          <w:szCs w:val="28"/>
        </w:rPr>
      </w:pPr>
      <w:r>
        <w:rPr>
          <w:rStyle w:val="eop"/>
          <w:sz w:val="28"/>
          <w:szCs w:val="28"/>
        </w:rPr>
        <w:t>Solicitado el correspondiente informe, la señora Secretaria del Tribunal Superior de Liberia comunica que en la causa que sigue contra el señor Villalobos se ha dictado auto de elevación y juicio y que actualmente se encuentra para citar a debate.</w:t>
      </w:r>
    </w:p>
    <w:p w:rsidR="007762E5" w:rsidRDefault="007762E5" w:rsidP="00D22EE2">
      <w:pPr>
        <w:pStyle w:val="paragraph"/>
        <w:spacing w:line="360" w:lineRule="auto"/>
        <w:jc w:val="both"/>
        <w:textAlignment w:val="baseline"/>
        <w:rPr>
          <w:rStyle w:val="eop"/>
          <w:sz w:val="28"/>
          <w:szCs w:val="28"/>
        </w:rPr>
      </w:pPr>
      <w:r>
        <w:rPr>
          <w:rStyle w:val="eop"/>
          <w:sz w:val="28"/>
          <w:szCs w:val="28"/>
        </w:rPr>
        <w:lastRenderedPageBreak/>
        <w:t>Se tuvo a la vista el expediente respectivo, del que aparece, además, que, por auto de las diez horas del veintiuno de noviembre del próximo pasado, el señor Juez de Instrucción de Cañas dictó auto de procesamiento y prisión preventiva contra el señor Villalobos.</w:t>
      </w:r>
    </w:p>
    <w:p w:rsidR="007762E5" w:rsidRPr="007762E5" w:rsidRDefault="007762E5" w:rsidP="00D22EE2">
      <w:pPr>
        <w:pStyle w:val="paragraph"/>
        <w:spacing w:line="360" w:lineRule="auto"/>
        <w:jc w:val="both"/>
        <w:textAlignment w:val="baseline"/>
        <w:rPr>
          <w:rStyle w:val="eop"/>
          <w:sz w:val="28"/>
          <w:szCs w:val="28"/>
        </w:rPr>
      </w:pPr>
      <w:r>
        <w:rPr>
          <w:rStyle w:val="eop"/>
          <w:sz w:val="28"/>
          <w:szCs w:val="28"/>
        </w:rPr>
        <w:t>Discutido el asunto, se dispuso: Declara</w:t>
      </w:r>
      <w:r w:rsidR="00D22EE2">
        <w:rPr>
          <w:rStyle w:val="eop"/>
          <w:sz w:val="28"/>
          <w:szCs w:val="28"/>
        </w:rPr>
        <w:t>r</w:t>
      </w:r>
      <w:r>
        <w:rPr>
          <w:rStyle w:val="eop"/>
          <w:sz w:val="28"/>
          <w:szCs w:val="28"/>
        </w:rPr>
        <w:t xml:space="preserve"> sin lugar el recurso de Hábeas Corpus, pues en contra del señor Villalobos Sánchez existe auto de procesamiento y prisión preventiva, que se dictó con base en las pruebas recibidas, y por ellos no puede considerarse que la privación de su libertad sea ilegítima. El presente acuerdo se transcribirá al señor Villalobos, a quien se hace saber que en la causa referida no se ha dictado ningún auto de falta de mérito, por lo que s</w:t>
      </w:r>
      <w:r w:rsidR="00D22EE2">
        <w:rPr>
          <w:rStyle w:val="eop"/>
          <w:sz w:val="28"/>
          <w:szCs w:val="28"/>
        </w:rPr>
        <w:t>u</w:t>
      </w:r>
      <w:r>
        <w:rPr>
          <w:rStyle w:val="eop"/>
          <w:sz w:val="28"/>
          <w:szCs w:val="28"/>
        </w:rPr>
        <w:t xml:space="preserve"> afirmación no es exacta.</w:t>
      </w:r>
    </w:p>
    <w:p w:rsidR="002C3459" w:rsidRDefault="00D22EE2"/>
    <w:sectPr w:rsidR="002C3459" w:rsidSect="005412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hyphenationZone w:val="425"/>
  <w:characterSpacingControl w:val="doNotCompress"/>
  <w:compat/>
  <w:rsids>
    <w:rsidRoot w:val="007762E5"/>
    <w:rsid w:val="005412CB"/>
    <w:rsid w:val="006C7E31"/>
    <w:rsid w:val="007762E5"/>
    <w:rsid w:val="00A6509B"/>
    <w:rsid w:val="00B361DF"/>
    <w:rsid w:val="00D22E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2C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762E5"/>
    <w:pPr>
      <w:spacing w:after="0" w:line="240" w:lineRule="auto"/>
    </w:pPr>
    <w:rPr>
      <w:rFonts w:ascii="Times New Roman" w:eastAsia="Times New Roman" w:hAnsi="Times New Roman" w:cs="Times New Roman"/>
      <w:sz w:val="24"/>
      <w:szCs w:val="24"/>
      <w:lang w:eastAsia="es-ES"/>
    </w:rPr>
  </w:style>
  <w:style w:type="character" w:customStyle="1" w:styleId="normaltextrun1">
    <w:name w:val="normaltextrun1"/>
    <w:basedOn w:val="Fuentedeprrafopredeter"/>
    <w:rsid w:val="007762E5"/>
  </w:style>
  <w:style w:type="character" w:customStyle="1" w:styleId="eop">
    <w:name w:val="eop"/>
    <w:basedOn w:val="Fuentedeprrafopredeter"/>
    <w:rsid w:val="007762E5"/>
  </w:style>
</w:styles>
</file>

<file path=word/webSettings.xml><?xml version="1.0" encoding="utf-8"?>
<w:webSettings xmlns:r="http://schemas.openxmlformats.org/officeDocument/2006/relationships" xmlns:w="http://schemas.openxmlformats.org/wordprocessingml/2006/main">
  <w:divs>
    <w:div w:id="1922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Guevara Rivas</dc:creator>
  <cp:keywords/>
  <dc:description/>
  <cp:lastModifiedBy>rbeers</cp:lastModifiedBy>
  <cp:revision>2</cp:revision>
  <dcterms:created xsi:type="dcterms:W3CDTF">2017-07-31T04:06:00Z</dcterms:created>
  <dcterms:modified xsi:type="dcterms:W3CDTF">2017-08-08T20:13:00Z</dcterms:modified>
</cp:coreProperties>
</file>