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DC4353" w:rsidTr="00DC4353">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C4353" w:rsidRDefault="00DC4353">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DC4353" w:rsidRDefault="00DC4353">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26 de marzo de 1979</w:t>
            </w:r>
          </w:p>
        </w:tc>
        <w:tc>
          <w:tcPr>
            <w:tcW w:w="2447" w:type="dxa"/>
            <w:tcBorders>
              <w:top w:val="single" w:sz="8" w:space="0" w:color="000000"/>
              <w:left w:val="single" w:sz="8" w:space="0" w:color="auto"/>
              <w:bottom w:val="single" w:sz="8" w:space="0" w:color="000000"/>
              <w:right w:val="single" w:sz="8" w:space="0" w:color="auto"/>
            </w:tcBorders>
            <w:hideMark/>
          </w:tcPr>
          <w:p w:rsidR="00DC4353" w:rsidRDefault="00DC4353">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DC4353" w:rsidRDefault="00DC4353">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14</w:t>
            </w:r>
          </w:p>
        </w:tc>
      </w:tr>
      <w:tr w:rsidR="00DC4353" w:rsidTr="00DC435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C4353" w:rsidRDefault="00DC4353">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DC4353" w:rsidTr="00DC435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C4353" w:rsidRDefault="00DC4353">
            <w:pPr>
              <w:spacing w:line="252" w:lineRule="auto"/>
              <w:rPr>
                <w:rFonts w:ascii="Arial" w:hAnsi="Arial" w:cs="Arial"/>
                <w:color w:val="000000"/>
                <w:sz w:val="20"/>
                <w:szCs w:val="20"/>
              </w:rPr>
            </w:pPr>
            <w:r>
              <w:rPr>
                <w:rFonts w:ascii="Arial" w:hAnsi="Arial" w:cs="Arial"/>
                <w:b/>
                <w:bCs/>
                <w:color w:val="000000"/>
                <w:sz w:val="20"/>
                <w:szCs w:val="20"/>
              </w:rPr>
              <w:t>Recurrente</w:t>
            </w:r>
            <w:r>
              <w:rPr>
                <w:rFonts w:ascii="Arial" w:hAnsi="Arial" w:cs="Arial"/>
                <w:color w:val="000000"/>
                <w:sz w:val="20"/>
                <w:szCs w:val="20"/>
              </w:rPr>
              <w:t xml:space="preserve">: </w:t>
            </w:r>
            <w:r w:rsidRPr="00DC4353">
              <w:rPr>
                <w:rFonts w:ascii="Arial" w:hAnsi="Arial" w:cs="Arial"/>
                <w:color w:val="000000"/>
                <w:sz w:val="20"/>
                <w:szCs w:val="20"/>
              </w:rPr>
              <w:t>Jesús Guerra</w:t>
            </w:r>
          </w:p>
        </w:tc>
      </w:tr>
      <w:tr w:rsidR="00DC4353" w:rsidTr="00DC435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353" w:rsidRDefault="00DC4353" w:rsidP="00DC4353">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color w:val="000000"/>
                <w:sz w:val="20"/>
                <w:szCs w:val="20"/>
              </w:rPr>
              <w:t>Juez Penal de San Carlos</w:t>
            </w:r>
          </w:p>
        </w:tc>
      </w:tr>
      <w:tr w:rsidR="00DC4353" w:rsidTr="00DC435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353" w:rsidRDefault="00DC4353">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El recurrente impugna su detención.</w:t>
            </w:r>
          </w:p>
        </w:tc>
      </w:tr>
      <w:tr w:rsidR="00DC4353" w:rsidTr="00DC435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353" w:rsidRPr="00DC4353" w:rsidRDefault="00DC4353">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Contra el recurrente hay sentencia firme por agresión con armas.</w:t>
            </w:r>
          </w:p>
        </w:tc>
      </w:tr>
      <w:tr w:rsidR="00DC4353" w:rsidTr="00DC4353">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4353" w:rsidRDefault="00DC4353">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DC4353" w:rsidRDefault="00DC4353">
            <w:pPr>
              <w:spacing w:line="252"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Sin lugar (detención justificada).</w:t>
            </w:r>
          </w:p>
        </w:tc>
      </w:tr>
    </w:tbl>
    <w:p w:rsidR="00DC4353" w:rsidRDefault="00DC4353" w:rsidP="008C1C9E">
      <w:pPr>
        <w:pStyle w:val="paragraph"/>
        <w:jc w:val="center"/>
        <w:textAlignment w:val="baseline"/>
        <w:rPr>
          <w:rStyle w:val="normaltextrun1"/>
          <w:b/>
          <w:bCs/>
          <w:sz w:val="28"/>
          <w:szCs w:val="28"/>
          <w:lang w:val="es-CR"/>
        </w:rPr>
      </w:pPr>
    </w:p>
    <w:p w:rsidR="008C1C9E" w:rsidRDefault="008C1C9E" w:rsidP="00DC4353">
      <w:pPr>
        <w:pStyle w:val="paragraph"/>
        <w:spacing w:line="360" w:lineRule="auto"/>
        <w:jc w:val="center"/>
        <w:textAlignment w:val="baseline"/>
      </w:pPr>
      <w:r>
        <w:rPr>
          <w:rStyle w:val="normaltextrun1"/>
          <w:b/>
          <w:bCs/>
          <w:sz w:val="28"/>
          <w:szCs w:val="28"/>
          <w:lang w:val="es-CR"/>
        </w:rPr>
        <w:t>N° 14</w:t>
      </w:r>
    </w:p>
    <w:p w:rsidR="008C1C9E" w:rsidRDefault="008C1C9E" w:rsidP="00DC4353">
      <w:pPr>
        <w:pStyle w:val="paragraph"/>
        <w:spacing w:line="360" w:lineRule="auto"/>
        <w:jc w:val="both"/>
        <w:textAlignment w:val="baseline"/>
      </w:pPr>
      <w:r>
        <w:t> </w:t>
      </w:r>
    </w:p>
    <w:p w:rsidR="008C1C9E" w:rsidRDefault="008C1C9E" w:rsidP="00DC4353">
      <w:pPr>
        <w:pStyle w:val="paragraph"/>
        <w:spacing w:line="360" w:lineRule="auto"/>
        <w:jc w:val="both"/>
        <w:textAlignment w:val="baseline"/>
        <w:rPr>
          <w:rStyle w:val="normaltextrun1"/>
        </w:rPr>
      </w:pPr>
      <w:r>
        <w:rPr>
          <w:rStyle w:val="normaltextrun1"/>
          <w:b/>
          <w:bCs/>
          <w:sz w:val="28"/>
          <w:szCs w:val="28"/>
        </w:rPr>
        <w:t>SESIÓN ORDINARIA DE LA CORTE PLENA celebrada a las trece horas y treinta minutos del veintiséis de marzo de mil novecientos setenta y nueve,</w:t>
      </w:r>
      <w:r>
        <w:rPr>
          <w:rStyle w:val="normaltextrun1"/>
          <w:sz w:val="28"/>
          <w:szCs w:val="28"/>
        </w:rPr>
        <w:t xml:space="preserve"> con asistencia inicial de los Magistrados Coto (Presidente), Arroyo, Odio, Retana, Jacobo, Vallejo, Cervantes, Blanco, Fernández, Valverde, Villalobos, Zavaleta, Trejos, Porter y Benavides, y de los Magistrados Suplentes licenciados Alfredo Zúñiga Pagés y Alfredo Chavarría Serrano, quienes sustituyen a los Magistrados Quirós y Bejarano, respectivamente.</w:t>
      </w:r>
    </w:p>
    <w:p w:rsidR="008C1C9E" w:rsidRDefault="008C1C9E" w:rsidP="00DC4353">
      <w:pPr>
        <w:pStyle w:val="paragraph"/>
        <w:spacing w:line="360" w:lineRule="auto"/>
        <w:jc w:val="both"/>
        <w:textAlignment w:val="baseline"/>
        <w:rPr>
          <w:rStyle w:val="eop"/>
          <w:sz w:val="28"/>
          <w:szCs w:val="28"/>
        </w:rPr>
      </w:pPr>
    </w:p>
    <w:p w:rsidR="008C1C9E" w:rsidRDefault="008C1C9E" w:rsidP="00DC4353">
      <w:pPr>
        <w:pStyle w:val="paragraph"/>
        <w:spacing w:line="360" w:lineRule="auto"/>
        <w:jc w:val="center"/>
        <w:textAlignment w:val="baseline"/>
        <w:rPr>
          <w:rStyle w:val="eop"/>
          <w:b/>
          <w:sz w:val="28"/>
          <w:szCs w:val="28"/>
        </w:rPr>
      </w:pPr>
      <w:r>
        <w:rPr>
          <w:rStyle w:val="eop"/>
          <w:b/>
          <w:sz w:val="28"/>
          <w:szCs w:val="28"/>
        </w:rPr>
        <w:t>Artículo III</w:t>
      </w:r>
    </w:p>
    <w:p w:rsidR="008C1C9E" w:rsidRPr="008C1C9E" w:rsidRDefault="008C1C9E" w:rsidP="00DC4353">
      <w:pPr>
        <w:pStyle w:val="paragraph"/>
        <w:spacing w:line="360" w:lineRule="auto"/>
        <w:jc w:val="both"/>
        <w:textAlignment w:val="baseline"/>
        <w:rPr>
          <w:rStyle w:val="eop"/>
          <w:sz w:val="28"/>
          <w:szCs w:val="28"/>
        </w:rPr>
      </w:pPr>
      <w:r>
        <w:rPr>
          <w:rStyle w:val="eop"/>
          <w:sz w:val="28"/>
          <w:szCs w:val="28"/>
        </w:rPr>
        <w:t xml:space="preserve">Fue declarado sin lugar el recurso de Hábeas Corpus interpuesto en favor de </w:t>
      </w:r>
      <w:r w:rsidR="00DC4353" w:rsidRPr="00DC4353">
        <w:rPr>
          <w:rStyle w:val="eop"/>
          <w:b/>
          <w:sz w:val="28"/>
          <w:szCs w:val="28"/>
        </w:rPr>
        <w:t>JESÚS GUERRA</w:t>
      </w:r>
      <w:r>
        <w:rPr>
          <w:rStyle w:val="eop"/>
          <w:sz w:val="28"/>
          <w:szCs w:val="28"/>
        </w:rPr>
        <w:t>, conocido como José Pérez Guerra, pues la privación de la libertad no puede considerarse ilegitima, ya que obedece a una sentencia condenatoria firme pronunciada por el Juez Penal de San Carlos en causa por el delito de agresión con armas en daño de Oscar Chavarría González, sentencia que le señor Juez dictó en ejercicio de sus atribuciones legales y con base en la prueba recibida</w:t>
      </w:r>
      <w:bookmarkStart w:id="0" w:name="_GoBack"/>
      <w:bookmarkEnd w:id="0"/>
    </w:p>
    <w:sectPr w:rsidR="008C1C9E" w:rsidRPr="008C1C9E" w:rsidSect="009D3F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compat/>
  <w:rsids>
    <w:rsidRoot w:val="008C1C9E"/>
    <w:rsid w:val="006C7E31"/>
    <w:rsid w:val="008C1C9E"/>
    <w:rsid w:val="009D3FFC"/>
    <w:rsid w:val="00B361DF"/>
    <w:rsid w:val="00DC43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1C9E"/>
    <w:pPr>
      <w:spacing w:after="0" w:line="240" w:lineRule="auto"/>
    </w:pPr>
    <w:rPr>
      <w:rFonts w:ascii="Times New Roman" w:eastAsia="Times New Roman" w:hAnsi="Times New Roman" w:cs="Times New Roman"/>
      <w:sz w:val="24"/>
      <w:szCs w:val="24"/>
      <w:lang w:eastAsia="es-ES"/>
    </w:rPr>
  </w:style>
  <w:style w:type="character" w:customStyle="1" w:styleId="normaltextrun1">
    <w:name w:val="normaltextrun1"/>
    <w:basedOn w:val="Fuentedeprrafopredeter"/>
    <w:rsid w:val="008C1C9E"/>
  </w:style>
  <w:style w:type="character" w:customStyle="1" w:styleId="eop">
    <w:name w:val="eop"/>
    <w:basedOn w:val="Fuentedeprrafopredeter"/>
    <w:rsid w:val="008C1C9E"/>
  </w:style>
</w:styles>
</file>

<file path=word/webSettings.xml><?xml version="1.0" encoding="utf-8"?>
<w:webSettings xmlns:r="http://schemas.openxmlformats.org/officeDocument/2006/relationships" xmlns:w="http://schemas.openxmlformats.org/wordprocessingml/2006/main">
  <w:divs>
    <w:div w:id="19044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1122</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Guevara Rivas</dc:creator>
  <cp:keywords/>
  <dc:description/>
  <cp:lastModifiedBy>rbeers</cp:lastModifiedBy>
  <cp:revision>2</cp:revision>
  <dcterms:created xsi:type="dcterms:W3CDTF">2017-07-31T05:49:00Z</dcterms:created>
  <dcterms:modified xsi:type="dcterms:W3CDTF">2017-08-09T16:58:00Z</dcterms:modified>
</cp:coreProperties>
</file>